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72" w:rsidRPr="00B104B6" w:rsidRDefault="002B37AF" w:rsidP="00057ED5">
      <w:pPr>
        <w:pStyle w:val="Title"/>
        <w:rPr>
          <w:sz w:val="48"/>
        </w:rPr>
      </w:pPr>
      <w:bookmarkStart w:id="0" w:name="_GoBack"/>
      <w:bookmarkEnd w:id="0"/>
      <w:r w:rsidRPr="00B104B6">
        <w:rPr>
          <w:sz w:val="48"/>
        </w:rPr>
        <w:t>Computer Programming</w:t>
      </w:r>
      <w:r w:rsidR="006F33A1" w:rsidRPr="00B104B6">
        <w:rPr>
          <w:sz w:val="48"/>
        </w:rPr>
        <w:t xml:space="preserve"> </w:t>
      </w:r>
      <w:r w:rsidR="00886931" w:rsidRPr="00B104B6">
        <w:rPr>
          <w:sz w:val="48"/>
        </w:rPr>
        <w:t>Occupation</w:t>
      </w:r>
      <w:r w:rsidR="00B104B6" w:rsidRPr="00B104B6">
        <w:rPr>
          <w:sz w:val="48"/>
        </w:rPr>
        <w:t xml:space="preserve"> Group</w:t>
      </w:r>
    </w:p>
    <w:p w:rsidR="00AE0272" w:rsidRDefault="009716B2" w:rsidP="00057ED5">
      <w:pPr>
        <w:pStyle w:val="Subtitle"/>
        <w:spacing w:after="0" w:line="360" w:lineRule="auto"/>
        <w:rPr>
          <w:rFonts w:eastAsia="Tw Cen MT"/>
          <w:bdr w:val="none" w:sz="0" w:space="0" w:color="auto" w:frame="1"/>
          <w:shd w:val="clear" w:color="auto" w:fill="FFFFFF"/>
        </w:rPr>
      </w:pPr>
      <w:r>
        <w:rPr>
          <w:rFonts w:eastAsia="Tw Cen MT"/>
          <w:bdr w:val="none" w:sz="0" w:space="0" w:color="auto" w:frame="1"/>
          <w:shd w:val="clear" w:color="auto" w:fill="FFFFFF"/>
        </w:rPr>
        <w:t>Riverside-San Bernardino-Ontario MSA</w:t>
      </w:r>
      <w:r w:rsidR="00C05E08">
        <w:rPr>
          <w:rFonts w:eastAsia="Tw Cen MT"/>
          <w:bdr w:val="none" w:sz="0" w:space="0" w:color="auto" w:frame="1"/>
          <w:shd w:val="clear" w:color="auto" w:fill="FFFFFF"/>
        </w:rPr>
        <w:t xml:space="preserve"> (Riverside and San Bernardino County combined)</w:t>
      </w:r>
    </w:p>
    <w:p w:rsidR="00057ED5" w:rsidRDefault="00057ED5" w:rsidP="00057ED5">
      <w:pPr>
        <w:pStyle w:val="Heading1"/>
        <w:spacing w:before="0" w:line="360" w:lineRule="auto"/>
        <w:rPr>
          <w:sz w:val="26"/>
          <w:szCs w:val="26"/>
        </w:rPr>
      </w:pPr>
    </w:p>
    <w:p w:rsidR="00A07F6B" w:rsidRPr="00391F5C" w:rsidRDefault="00A07F6B" w:rsidP="00057ED5">
      <w:pPr>
        <w:pStyle w:val="Heading1"/>
        <w:spacing w:before="0" w:line="360" w:lineRule="auto"/>
        <w:rPr>
          <w:sz w:val="26"/>
          <w:szCs w:val="26"/>
        </w:rPr>
      </w:pPr>
      <w:r w:rsidRPr="00391F5C">
        <w:rPr>
          <w:sz w:val="26"/>
          <w:szCs w:val="26"/>
        </w:rPr>
        <w:t>Occupation Definitions and Reported Job Titles</w:t>
      </w:r>
    </w:p>
    <w:p w:rsidR="00057ED5" w:rsidRPr="00057ED5" w:rsidRDefault="002B37AF" w:rsidP="00057ED5">
      <w:pPr>
        <w:spacing w:after="0" w:line="360" w:lineRule="auto"/>
        <w:contextualSpacing/>
        <w:rPr>
          <w:b/>
        </w:rPr>
      </w:pPr>
      <w:r>
        <w:rPr>
          <w:b/>
        </w:rPr>
        <w:t>Computer Programmers (15-1131)</w:t>
      </w:r>
      <w:r w:rsidR="00057ED5">
        <w:rPr>
          <w:b/>
        </w:rPr>
        <w:t xml:space="preserve"> </w:t>
      </w:r>
    </w:p>
    <w:p w:rsidR="00057ED5" w:rsidRDefault="002B37AF" w:rsidP="00057ED5">
      <w:pPr>
        <w:spacing w:after="0" w:line="360" w:lineRule="auto"/>
        <w:contextualSpacing/>
        <w:rPr>
          <w:b/>
        </w:rPr>
      </w:pPr>
      <w:r>
        <w:t xml:space="preserve">Create, modify, and test the code, forms, and script that allow computer applications to run. </w:t>
      </w:r>
      <w:r w:rsidRPr="002B37AF">
        <w:t>Work from specifications drawn up by software developers or other individuals. May assist software developers by analyzing user needs and designing software solutions. May develop and write computer programs to store, locate, and retrieve specific documents, data, and information</w:t>
      </w:r>
      <w:r w:rsidR="00A07F6B" w:rsidRPr="00391F5C">
        <w:t>.</w:t>
      </w:r>
    </w:p>
    <w:p w:rsidR="00057ED5" w:rsidRPr="00057ED5" w:rsidRDefault="00057ED5" w:rsidP="00057ED5">
      <w:pPr>
        <w:spacing w:after="0" w:line="360" w:lineRule="auto"/>
        <w:contextualSpacing/>
        <w:rPr>
          <w:i/>
        </w:rPr>
      </w:pPr>
      <w:r w:rsidRPr="00057ED5">
        <w:rPr>
          <w:i/>
        </w:rPr>
        <w:t xml:space="preserve">Sample job titles: </w:t>
      </w:r>
      <w:r w:rsidR="002B37AF" w:rsidRPr="002B37AF">
        <w:rPr>
          <w:i/>
        </w:rPr>
        <w:t>Analyst Programmer, Applications Developer, Computer Programmer, Computer Programmer Analyst, Internet Programmer, Java Developer, Programmer, Programmer Analyst, Software Developer, Web Programmer</w:t>
      </w:r>
    </w:p>
    <w:p w:rsidR="00057ED5" w:rsidRDefault="00057ED5" w:rsidP="00057ED5">
      <w:pPr>
        <w:spacing w:after="0" w:line="360" w:lineRule="auto"/>
        <w:rPr>
          <w:b/>
        </w:rPr>
      </w:pPr>
    </w:p>
    <w:p w:rsidR="00057ED5" w:rsidRDefault="002B37AF" w:rsidP="00057ED5">
      <w:pPr>
        <w:spacing w:after="0" w:line="360" w:lineRule="auto"/>
        <w:rPr>
          <w:b/>
        </w:rPr>
      </w:pPr>
      <w:r>
        <w:rPr>
          <w:b/>
        </w:rPr>
        <w:t>Software Developers, Applications (15-1132)</w:t>
      </w:r>
    </w:p>
    <w:p w:rsidR="00A07F6B" w:rsidRPr="00057ED5" w:rsidRDefault="002B37AF" w:rsidP="00057ED5">
      <w:pPr>
        <w:spacing w:after="0" w:line="360" w:lineRule="auto"/>
        <w:rPr>
          <w:b/>
        </w:rPr>
      </w:pPr>
      <w:r w:rsidRPr="002B37AF">
        <w:t>Develop, create, and modify general computer applications software or specialized utility programs. Analyze user needs and develop software solutions. Design software or customize software for client use with the aim of optimizing operational efficiency. May analyze and design databases within an application area, working individually or coordinating database development as part of a team. May supervise computer programmers.</w:t>
      </w:r>
    </w:p>
    <w:p w:rsidR="00A07F6B" w:rsidRPr="00391F5C" w:rsidRDefault="00A07F6B" w:rsidP="00057ED5">
      <w:pPr>
        <w:spacing w:after="0" w:line="360" w:lineRule="auto"/>
        <w:rPr>
          <w:i/>
        </w:rPr>
      </w:pPr>
      <w:r w:rsidRPr="00391F5C">
        <w:rPr>
          <w:i/>
        </w:rPr>
        <w:t xml:space="preserve">Sample job titles: </w:t>
      </w:r>
      <w:r w:rsidR="002B37AF" w:rsidRPr="002B37AF">
        <w:rPr>
          <w:i/>
        </w:rPr>
        <w:t xml:space="preserve">Application Developer, Application Integration Engineer, Applications Developer, Computer Consultant, </w:t>
      </w:r>
      <w:r w:rsidR="002B37AF" w:rsidRPr="002B37AF">
        <w:rPr>
          <w:i/>
        </w:rPr>
        <w:lastRenderedPageBreak/>
        <w:t>Information Technology Analyst (IT Analyst), Software Architect, Software Developer, Software Development Engineer, Software Engineer, Technical Consultant</w:t>
      </w:r>
    </w:p>
    <w:p w:rsidR="00057ED5" w:rsidRDefault="00057ED5" w:rsidP="00057ED5">
      <w:pPr>
        <w:spacing w:after="0" w:line="360" w:lineRule="auto"/>
        <w:rPr>
          <w:b/>
        </w:rPr>
      </w:pPr>
    </w:p>
    <w:p w:rsidR="00057ED5" w:rsidRDefault="002B37AF" w:rsidP="00057ED5">
      <w:pPr>
        <w:spacing w:after="0" w:line="360" w:lineRule="auto"/>
        <w:rPr>
          <w:b/>
        </w:rPr>
      </w:pPr>
      <w:r>
        <w:rPr>
          <w:b/>
        </w:rPr>
        <w:t>Software Developers, Systems software (15-1133)</w:t>
      </w:r>
    </w:p>
    <w:p w:rsidR="00A07F6B" w:rsidRPr="00057ED5" w:rsidRDefault="002B37AF" w:rsidP="00057ED5">
      <w:pPr>
        <w:spacing w:after="0" w:line="360" w:lineRule="auto"/>
        <w:rPr>
          <w:b/>
        </w:rPr>
      </w:pPr>
      <w:r w:rsidRPr="002B37AF">
        <w:t>Research, design, develop, and test operating systems-level software, compilers, and network distribution software for medical, industrial, military, communications, aerospace, business, scientific, and general computing applications. Set operational specifications and formulate and analyze software requirements. May design embedded systems software. Apply principles and techniques of computer science, engineering, and mathematical analysis.</w:t>
      </w:r>
    </w:p>
    <w:p w:rsidR="00A07F6B" w:rsidRPr="00391F5C" w:rsidRDefault="00A07F6B" w:rsidP="00057ED5">
      <w:pPr>
        <w:spacing w:after="0" w:line="360" w:lineRule="auto"/>
        <w:rPr>
          <w:i/>
        </w:rPr>
      </w:pPr>
      <w:r w:rsidRPr="00391F5C">
        <w:rPr>
          <w:i/>
        </w:rPr>
        <w:t xml:space="preserve">Sample job titles: </w:t>
      </w:r>
      <w:r w:rsidR="002B37AF" w:rsidRPr="002B37AF">
        <w:rPr>
          <w:i/>
        </w:rPr>
        <w:t>Developer, Infrastructure Engineer, Network Engineer, Publishing Systems Analyst, Senior Software Engineer, Software Architect, Software Developer, Software Engineer, Systems Coordinator, Systems Engineer</w:t>
      </w:r>
    </w:p>
    <w:p w:rsidR="002B37AF" w:rsidRDefault="002B37AF" w:rsidP="00057ED5">
      <w:pPr>
        <w:spacing w:after="0" w:line="360" w:lineRule="auto"/>
        <w:rPr>
          <w:b/>
        </w:rPr>
      </w:pPr>
    </w:p>
    <w:p w:rsidR="00A07F6B" w:rsidRPr="00391F5C" w:rsidRDefault="002B37AF" w:rsidP="00057ED5">
      <w:pPr>
        <w:spacing w:after="0" w:line="360" w:lineRule="auto"/>
        <w:rPr>
          <w:b/>
        </w:rPr>
      </w:pPr>
      <w:r>
        <w:rPr>
          <w:b/>
        </w:rPr>
        <w:t>Web Developers (15-1134)</w:t>
      </w:r>
    </w:p>
    <w:p w:rsidR="00A07F6B" w:rsidRPr="00391F5C" w:rsidRDefault="002B37AF" w:rsidP="00057ED5">
      <w:pPr>
        <w:spacing w:after="0" w:line="360" w:lineRule="auto"/>
      </w:pPr>
      <w:r w:rsidRPr="002B37AF">
        <w:t>Design, create, and modify Web sites. Analyze user needs to implement Web site content, graphics, performance, and capacity. May integrate Web sites with other computer applications. May convert written, graphic, audio, and video components to compatible Web formats by using software designed to facilitate the creation of Web and multimedia content.</w:t>
      </w:r>
    </w:p>
    <w:p w:rsidR="00A07F6B" w:rsidRPr="00391F5C" w:rsidRDefault="00A07F6B" w:rsidP="00057ED5">
      <w:pPr>
        <w:spacing w:after="0" w:line="360" w:lineRule="auto"/>
        <w:rPr>
          <w:i/>
        </w:rPr>
      </w:pPr>
      <w:r w:rsidRPr="00391F5C">
        <w:rPr>
          <w:i/>
        </w:rPr>
        <w:t xml:space="preserve">Sample job titles: </w:t>
      </w:r>
      <w:r w:rsidR="002B37AF">
        <w:rPr>
          <w:i/>
        </w:rPr>
        <w:t>Web Designer, Web Developer, Webmaster</w:t>
      </w:r>
    </w:p>
    <w:p w:rsidR="00057ED5" w:rsidRDefault="00057ED5" w:rsidP="00057ED5">
      <w:pPr>
        <w:pStyle w:val="Heading1"/>
        <w:spacing w:before="0" w:line="360" w:lineRule="auto"/>
      </w:pPr>
    </w:p>
    <w:p w:rsidR="0061481C" w:rsidRDefault="0061481C">
      <w:pPr>
        <w:rPr>
          <w:rFonts w:asciiTheme="majorHAnsi" w:eastAsia="Times New Roman" w:hAnsiTheme="majorHAnsi" w:cstheme="majorBidi"/>
          <w:b/>
          <w:bCs/>
          <w:color w:val="42558C" w:themeColor="accent1" w:themeShade="BF"/>
          <w:sz w:val="28"/>
          <w:szCs w:val="28"/>
        </w:rPr>
      </w:pPr>
      <w:r>
        <w:rPr>
          <w:rFonts w:eastAsia="Times New Roman"/>
        </w:rPr>
        <w:br w:type="page"/>
      </w:r>
    </w:p>
    <w:p w:rsidR="00AE0272" w:rsidRPr="0095568A" w:rsidRDefault="00AE0272" w:rsidP="00057ED5">
      <w:pPr>
        <w:pStyle w:val="Heading1"/>
        <w:spacing w:before="0" w:line="360" w:lineRule="auto"/>
        <w:rPr>
          <w:rFonts w:eastAsia="Times New Roman"/>
        </w:rPr>
      </w:pPr>
      <w:r w:rsidRPr="0095568A">
        <w:rPr>
          <w:rFonts w:eastAsia="Times New Roman"/>
        </w:rPr>
        <w:lastRenderedPageBreak/>
        <w:t>Job Opportunities</w:t>
      </w:r>
    </w:p>
    <w:p w:rsidR="000F08CC" w:rsidRDefault="004C3FA7" w:rsidP="00057ED5">
      <w:pPr>
        <w:spacing w:after="0" w:line="360" w:lineRule="auto"/>
      </w:pPr>
      <w:r>
        <w:rPr>
          <w:bdr w:val="none" w:sz="0" w:space="0" w:color="auto" w:frame="1"/>
          <w:shd w:val="clear" w:color="auto" w:fill="FFFFFF"/>
        </w:rPr>
        <w:t xml:space="preserve">In </w:t>
      </w:r>
      <w:r w:rsidR="00B35674">
        <w:rPr>
          <w:bdr w:val="none" w:sz="0" w:space="0" w:color="auto" w:frame="1"/>
          <w:shd w:val="clear" w:color="auto" w:fill="FFFFFF"/>
        </w:rPr>
        <w:t>the Riverside-S</w:t>
      </w:r>
      <w:r w:rsidR="00516D4F">
        <w:rPr>
          <w:bdr w:val="none" w:sz="0" w:space="0" w:color="auto" w:frame="1"/>
          <w:shd w:val="clear" w:color="auto" w:fill="FFFFFF"/>
        </w:rPr>
        <w:t>an Bernardino-Ontario MSA</w:t>
      </w:r>
      <w:r w:rsidR="00B35674">
        <w:rPr>
          <w:bdr w:val="none" w:sz="0" w:space="0" w:color="auto" w:frame="1"/>
          <w:shd w:val="clear" w:color="auto" w:fill="FFFFFF"/>
        </w:rPr>
        <w:t xml:space="preserve">, </w:t>
      </w:r>
      <w:r w:rsidR="00B104B6">
        <w:rPr>
          <w:bdr w:val="none" w:sz="0" w:space="0" w:color="auto" w:frame="1"/>
          <w:shd w:val="clear" w:color="auto" w:fill="FFFFFF"/>
        </w:rPr>
        <w:t xml:space="preserve">the </w:t>
      </w:r>
      <w:r w:rsidR="00047412">
        <w:rPr>
          <w:bdr w:val="none" w:sz="0" w:space="0" w:color="auto" w:frame="1"/>
          <w:shd w:val="clear" w:color="auto" w:fill="FFFFFF"/>
        </w:rPr>
        <w:t>computer programming</w:t>
      </w:r>
      <w:r w:rsidR="00660905">
        <w:rPr>
          <w:bdr w:val="none" w:sz="0" w:space="0" w:color="auto" w:frame="1"/>
          <w:shd w:val="clear" w:color="auto" w:fill="FFFFFF"/>
        </w:rPr>
        <w:t xml:space="preserve"> </w:t>
      </w:r>
      <w:r w:rsidR="00B35674">
        <w:rPr>
          <w:bdr w:val="none" w:sz="0" w:space="0" w:color="auto" w:frame="1"/>
          <w:shd w:val="clear" w:color="auto" w:fill="FFFFFF"/>
        </w:rPr>
        <w:t>occup</w:t>
      </w:r>
      <w:r w:rsidR="00047412">
        <w:rPr>
          <w:bdr w:val="none" w:sz="0" w:space="0" w:color="auto" w:frame="1"/>
          <w:shd w:val="clear" w:color="auto" w:fill="FFFFFF"/>
        </w:rPr>
        <w:t>ation</w:t>
      </w:r>
      <w:r w:rsidR="00B104B6">
        <w:rPr>
          <w:bdr w:val="none" w:sz="0" w:space="0" w:color="auto" w:frame="1"/>
          <w:shd w:val="clear" w:color="auto" w:fill="FFFFFF"/>
        </w:rPr>
        <w:t xml:space="preserve"> group</w:t>
      </w:r>
      <w:r w:rsidR="00047412">
        <w:rPr>
          <w:bdr w:val="none" w:sz="0" w:space="0" w:color="auto" w:frame="1"/>
          <w:shd w:val="clear" w:color="auto" w:fill="FFFFFF"/>
        </w:rPr>
        <w:t xml:space="preserve"> </w:t>
      </w:r>
      <w:r w:rsidR="00B104B6">
        <w:rPr>
          <w:bdr w:val="none" w:sz="0" w:space="0" w:color="auto" w:frame="1"/>
          <w:shd w:val="clear" w:color="auto" w:fill="FFFFFF"/>
        </w:rPr>
        <w:t xml:space="preserve">is </w:t>
      </w:r>
      <w:r w:rsidR="00047412">
        <w:rPr>
          <w:bdr w:val="none" w:sz="0" w:space="0" w:color="auto" w:frame="1"/>
          <w:shd w:val="clear" w:color="auto" w:fill="FFFFFF"/>
        </w:rPr>
        <w:t xml:space="preserve">expected to increase </w:t>
      </w:r>
      <w:r w:rsidR="00381FD1">
        <w:rPr>
          <w:bdr w:val="none" w:sz="0" w:space="0" w:color="auto" w:frame="1"/>
          <w:shd w:val="clear" w:color="auto" w:fill="FFFFFF"/>
        </w:rPr>
        <w:t xml:space="preserve">employment </w:t>
      </w:r>
      <w:r w:rsidR="00B104B6">
        <w:rPr>
          <w:bdr w:val="none" w:sz="0" w:space="0" w:color="auto" w:frame="1"/>
          <w:shd w:val="clear" w:color="auto" w:fill="FFFFFF"/>
        </w:rPr>
        <w:t>10%</w:t>
      </w:r>
      <w:r w:rsidR="00B35674">
        <w:rPr>
          <w:bdr w:val="none" w:sz="0" w:space="0" w:color="auto" w:frame="1"/>
          <w:shd w:val="clear" w:color="auto" w:fill="FFFFFF"/>
        </w:rPr>
        <w:t xml:space="preserve"> between 2015 and 2020</w:t>
      </w:r>
      <w:r w:rsidR="000F08CC">
        <w:rPr>
          <w:bdr w:val="none" w:sz="0" w:space="0" w:color="auto" w:frame="1"/>
          <w:shd w:val="clear" w:color="auto" w:fill="FFFFFF"/>
        </w:rPr>
        <w:t xml:space="preserve">. </w:t>
      </w:r>
      <w:r w:rsidR="006C20B2">
        <w:rPr>
          <w:bdr w:val="none" w:sz="0" w:space="0" w:color="auto" w:frame="1"/>
          <w:shd w:val="clear" w:color="auto" w:fill="FFFFFF"/>
        </w:rPr>
        <w:t xml:space="preserve"> </w:t>
      </w:r>
      <w:r w:rsidR="00706374">
        <w:rPr>
          <w:bdr w:val="none" w:sz="0" w:space="0" w:color="auto" w:frame="1"/>
          <w:shd w:val="clear" w:color="auto" w:fill="FFFFFF"/>
        </w:rPr>
        <w:t>Nearly</w:t>
      </w:r>
      <w:r w:rsidR="00047412">
        <w:rPr>
          <w:bdr w:val="none" w:sz="0" w:space="0" w:color="auto" w:frame="1"/>
          <w:shd w:val="clear" w:color="auto" w:fill="FFFFFF"/>
        </w:rPr>
        <w:t xml:space="preserve"> 1</w:t>
      </w:r>
      <w:r w:rsidR="00C05E08">
        <w:rPr>
          <w:bdr w:val="none" w:sz="0" w:space="0" w:color="auto" w:frame="1"/>
          <w:shd w:val="clear" w:color="auto" w:fill="FFFFFF"/>
        </w:rPr>
        <w:t>,</w:t>
      </w:r>
      <w:r w:rsidR="00706374">
        <w:rPr>
          <w:bdr w:val="none" w:sz="0" w:space="0" w:color="auto" w:frame="1"/>
          <w:shd w:val="clear" w:color="auto" w:fill="FFFFFF"/>
        </w:rPr>
        <w:t>10</w:t>
      </w:r>
      <w:r w:rsidR="00C05E08">
        <w:rPr>
          <w:bdr w:val="none" w:sz="0" w:space="0" w:color="auto" w:frame="1"/>
          <w:shd w:val="clear" w:color="auto" w:fill="FFFFFF"/>
        </w:rPr>
        <w:t xml:space="preserve">0 </w:t>
      </w:r>
      <w:r w:rsidR="00216803">
        <w:rPr>
          <w:bdr w:val="none" w:sz="0" w:space="0" w:color="auto" w:frame="1"/>
          <w:shd w:val="clear" w:color="auto" w:fill="FFFFFF"/>
        </w:rPr>
        <w:t>computer programming</w:t>
      </w:r>
      <w:r w:rsidR="00C17AEA">
        <w:rPr>
          <w:bdr w:val="none" w:sz="0" w:space="0" w:color="auto" w:frame="1"/>
          <w:shd w:val="clear" w:color="auto" w:fill="FFFFFF"/>
        </w:rPr>
        <w:t xml:space="preserve"> </w:t>
      </w:r>
      <w:r w:rsidR="00C05E08">
        <w:rPr>
          <w:bdr w:val="none" w:sz="0" w:space="0" w:color="auto" w:frame="1"/>
          <w:shd w:val="clear" w:color="auto" w:fill="FFFFFF"/>
        </w:rPr>
        <w:t xml:space="preserve">job opportunities will be </w:t>
      </w:r>
      <w:r w:rsidR="00C17AEA">
        <w:rPr>
          <w:bdr w:val="none" w:sz="0" w:space="0" w:color="auto" w:frame="1"/>
          <w:shd w:val="clear" w:color="auto" w:fill="FFFFFF"/>
        </w:rPr>
        <w:t>available</w:t>
      </w:r>
      <w:r w:rsidR="00C17AEA">
        <w:t xml:space="preserve"> </w:t>
      </w:r>
      <w:r w:rsidR="00ED5BAB">
        <w:t xml:space="preserve">over the five-year projection period </w:t>
      </w:r>
      <w:r w:rsidR="00C17AEA">
        <w:t>due to</w:t>
      </w:r>
      <w:r w:rsidR="00C05E08">
        <w:t xml:space="preserve"> new job</w:t>
      </w:r>
      <w:r w:rsidR="00C17AEA">
        <w:t xml:space="preserve"> growth </w:t>
      </w:r>
      <w:r w:rsidR="00AE0272" w:rsidRPr="00EC0085">
        <w:t>and replacement need (e.g. retirements</w:t>
      </w:r>
      <w:r w:rsidR="00706374">
        <w:t>)</w:t>
      </w:r>
      <w:r w:rsidR="00C05E08">
        <w:t xml:space="preserve">; more than </w:t>
      </w:r>
      <w:r w:rsidR="00047412">
        <w:rPr>
          <w:bdr w:val="none" w:sz="0" w:space="0" w:color="auto" w:frame="1"/>
          <w:shd w:val="clear" w:color="auto" w:fill="FFFFFF"/>
        </w:rPr>
        <w:t>2</w:t>
      </w:r>
      <w:r w:rsidR="00706374">
        <w:rPr>
          <w:bdr w:val="none" w:sz="0" w:space="0" w:color="auto" w:frame="1"/>
          <w:shd w:val="clear" w:color="auto" w:fill="FFFFFF"/>
        </w:rPr>
        <w:t>1</w:t>
      </w:r>
      <w:r w:rsidR="00C05E08">
        <w:rPr>
          <w:bdr w:val="none" w:sz="0" w:space="0" w:color="auto" w:frame="1"/>
          <w:shd w:val="clear" w:color="auto" w:fill="FFFFFF"/>
        </w:rPr>
        <w:t xml:space="preserve">0 </w:t>
      </w:r>
      <w:r w:rsidR="00047412">
        <w:rPr>
          <w:bdr w:val="none" w:sz="0" w:space="0" w:color="auto" w:frame="1"/>
          <w:shd w:val="clear" w:color="auto" w:fill="FFFFFF"/>
        </w:rPr>
        <w:t>computer programming</w:t>
      </w:r>
      <w:r w:rsidR="00ED5BAB">
        <w:rPr>
          <w:bdr w:val="none" w:sz="0" w:space="0" w:color="auto" w:frame="1"/>
          <w:shd w:val="clear" w:color="auto" w:fill="FFFFFF"/>
        </w:rPr>
        <w:t xml:space="preserve"> </w:t>
      </w:r>
      <w:r w:rsidR="00C05E08">
        <w:rPr>
          <w:bdr w:val="none" w:sz="0" w:space="0" w:color="auto" w:frame="1"/>
          <w:shd w:val="clear" w:color="auto" w:fill="FFFFFF"/>
        </w:rPr>
        <w:t xml:space="preserve">jobs openings each year </w:t>
      </w:r>
      <w:r w:rsidR="00C05E08">
        <w:t>during the five-year time frame</w:t>
      </w:r>
      <w:r w:rsidR="00AE0272" w:rsidRPr="00EC0085">
        <w:t xml:space="preserve">. </w:t>
      </w:r>
      <w:r w:rsidR="00B35674">
        <w:t xml:space="preserve">As shown in the table below, </w:t>
      </w:r>
      <w:r w:rsidR="00047412">
        <w:t>software developers, applications</w:t>
      </w:r>
      <w:r w:rsidR="00B35674">
        <w:t xml:space="preserve"> is the occupation with the most annual job openings. </w:t>
      </w:r>
      <w:r w:rsidR="00047412">
        <w:t xml:space="preserve">Web developers </w:t>
      </w:r>
      <w:r w:rsidR="00B35674">
        <w:t xml:space="preserve">will </w:t>
      </w:r>
      <w:r w:rsidR="00ED5BAB">
        <w:t xml:space="preserve">be the fastest growing </w:t>
      </w:r>
      <w:r w:rsidR="00706374">
        <w:t>occupation</w:t>
      </w:r>
      <w:r w:rsidR="00ED5BAB">
        <w:t>, increasing</w:t>
      </w:r>
      <w:r w:rsidR="00706374">
        <w:t xml:space="preserve"> employment</w:t>
      </w:r>
      <w:r w:rsidR="00ED5BAB">
        <w:t xml:space="preserve"> by</w:t>
      </w:r>
      <w:r w:rsidR="00047412">
        <w:t xml:space="preserve"> 15</w:t>
      </w:r>
      <w:r w:rsidR="00706374">
        <w:t>%</w:t>
      </w:r>
      <w:r w:rsidR="00B35674">
        <w:t xml:space="preserve"> </w:t>
      </w:r>
    </w:p>
    <w:p w:rsidR="006F33A1" w:rsidRDefault="006F33A1" w:rsidP="00057ED5">
      <w:pPr>
        <w:pStyle w:val="Quote"/>
        <w:spacing w:after="0" w:line="360" w:lineRule="auto"/>
      </w:pPr>
    </w:p>
    <w:p w:rsidR="00DD4914" w:rsidRPr="00AC3B21" w:rsidRDefault="006425AA" w:rsidP="00057ED5">
      <w:pPr>
        <w:pStyle w:val="Quote"/>
        <w:spacing w:after="0" w:line="360" w:lineRule="auto"/>
      </w:pPr>
      <w:r w:rsidRPr="00AC3B21">
        <w:t>Exhibit 1:</w:t>
      </w:r>
      <w:r w:rsidR="00AE0272" w:rsidRPr="00AC3B21">
        <w:t xml:space="preserve"> </w:t>
      </w:r>
      <w:r w:rsidR="006F33A1">
        <w:t>5</w:t>
      </w:r>
      <w:r w:rsidR="00AE0272" w:rsidRPr="00AC3B21">
        <w:t>-year</w:t>
      </w:r>
      <w:r w:rsidR="00DB57AF" w:rsidRPr="00AC3B21">
        <w:t xml:space="preserve"> </w:t>
      </w:r>
      <w:r w:rsidR="00706374">
        <w:t>p</w:t>
      </w:r>
      <w:r w:rsidR="00AE0272" w:rsidRPr="00AC3B21">
        <w:t>rojections</w:t>
      </w:r>
      <w:r w:rsidR="005930EF" w:rsidRPr="00AC3B21">
        <w:t xml:space="preserve"> </w:t>
      </w:r>
      <w:r w:rsidR="00186744" w:rsidRPr="00AC3B21">
        <w:t xml:space="preserve">for </w:t>
      </w:r>
      <w:r w:rsidR="00381FD1">
        <w:t xml:space="preserve">the </w:t>
      </w:r>
      <w:r w:rsidR="00047412">
        <w:t>computer programming</w:t>
      </w:r>
      <w:r w:rsidR="006F33A1">
        <w:t xml:space="preserve"> occupation</w:t>
      </w:r>
      <w:r w:rsidR="00706374">
        <w:t xml:space="preserve"> group</w:t>
      </w:r>
      <w:r w:rsidR="006F33A1">
        <w:t xml:space="preserve"> in the Riverside-San Bernardino-Ontario MSA</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123"/>
        <w:gridCol w:w="1125"/>
        <w:gridCol w:w="1125"/>
        <w:gridCol w:w="1125"/>
        <w:gridCol w:w="1373"/>
        <w:gridCol w:w="1174"/>
      </w:tblGrid>
      <w:tr w:rsidR="00A271D0" w:rsidRPr="009716B2" w:rsidTr="00706374">
        <w:trPr>
          <w:trHeight w:val="576"/>
        </w:trPr>
        <w:tc>
          <w:tcPr>
            <w:tcW w:w="1393" w:type="pct"/>
            <w:shd w:val="clear" w:color="000000" w:fill="204354"/>
            <w:vAlign w:val="center"/>
            <w:hideMark/>
          </w:tcPr>
          <w:p w:rsidR="00A271D0" w:rsidRPr="009716B2" w:rsidRDefault="00A271D0" w:rsidP="00B104B6">
            <w:pPr>
              <w:pStyle w:val="NoSpacing"/>
            </w:pPr>
            <w:r>
              <w:t>Occupations</w:t>
            </w:r>
          </w:p>
        </w:tc>
        <w:tc>
          <w:tcPr>
            <w:tcW w:w="575" w:type="pct"/>
            <w:shd w:val="clear" w:color="000000" w:fill="204354"/>
            <w:vAlign w:val="center"/>
            <w:hideMark/>
          </w:tcPr>
          <w:p w:rsidR="00A271D0" w:rsidRPr="009716B2" w:rsidRDefault="00A271D0" w:rsidP="00B104B6">
            <w:pPr>
              <w:pStyle w:val="NoSpacing"/>
              <w:jc w:val="center"/>
            </w:pPr>
            <w:r w:rsidRPr="009716B2">
              <w:t>2015 Jobs</w:t>
            </w:r>
          </w:p>
        </w:tc>
        <w:tc>
          <w:tcPr>
            <w:tcW w:w="576" w:type="pct"/>
            <w:shd w:val="clear" w:color="000000" w:fill="204354"/>
            <w:vAlign w:val="center"/>
            <w:hideMark/>
          </w:tcPr>
          <w:p w:rsidR="00A271D0" w:rsidRPr="009716B2" w:rsidRDefault="00A271D0" w:rsidP="00B104B6">
            <w:pPr>
              <w:pStyle w:val="NoSpacing"/>
              <w:jc w:val="center"/>
            </w:pPr>
            <w:r w:rsidRPr="009716B2">
              <w:t>2020 Jobs</w:t>
            </w:r>
          </w:p>
        </w:tc>
        <w:tc>
          <w:tcPr>
            <w:tcW w:w="576" w:type="pct"/>
            <w:shd w:val="clear" w:color="000000" w:fill="204354"/>
            <w:vAlign w:val="center"/>
          </w:tcPr>
          <w:p w:rsidR="00A271D0" w:rsidRPr="009716B2" w:rsidRDefault="00A271D0" w:rsidP="00B104B6">
            <w:pPr>
              <w:pStyle w:val="NoSpacing"/>
              <w:jc w:val="center"/>
            </w:pPr>
            <w:r>
              <w:t>5-Yr Change</w:t>
            </w:r>
          </w:p>
        </w:tc>
        <w:tc>
          <w:tcPr>
            <w:tcW w:w="576" w:type="pct"/>
            <w:shd w:val="clear" w:color="000000" w:fill="204354"/>
            <w:vAlign w:val="center"/>
          </w:tcPr>
          <w:p w:rsidR="00A271D0" w:rsidRPr="009716B2" w:rsidRDefault="00A271D0" w:rsidP="00B104B6">
            <w:pPr>
              <w:pStyle w:val="NoSpacing"/>
              <w:jc w:val="center"/>
            </w:pPr>
            <w:r>
              <w:t>5-Yr % Change</w:t>
            </w:r>
          </w:p>
        </w:tc>
        <w:tc>
          <w:tcPr>
            <w:tcW w:w="703" w:type="pct"/>
            <w:shd w:val="clear" w:color="000000" w:fill="204354"/>
            <w:vAlign w:val="center"/>
            <w:hideMark/>
          </w:tcPr>
          <w:p w:rsidR="00A271D0" w:rsidRPr="00706374" w:rsidRDefault="00A271D0" w:rsidP="00B104B6">
            <w:pPr>
              <w:pStyle w:val="NoSpacing"/>
              <w:jc w:val="center"/>
              <w:rPr>
                <w:b/>
                <w:sz w:val="22"/>
              </w:rPr>
            </w:pPr>
            <w:r w:rsidRPr="00706374">
              <w:rPr>
                <w:b/>
                <w:sz w:val="22"/>
              </w:rPr>
              <w:t>5-Yr Openings</w:t>
            </w:r>
            <w:r w:rsidR="00706374">
              <w:rPr>
                <w:b/>
                <w:sz w:val="22"/>
              </w:rPr>
              <w:t xml:space="preserve"> (New + Replacemet Jobs)</w:t>
            </w:r>
          </w:p>
        </w:tc>
        <w:tc>
          <w:tcPr>
            <w:tcW w:w="601" w:type="pct"/>
            <w:shd w:val="clear" w:color="000000" w:fill="204354"/>
            <w:vAlign w:val="center"/>
            <w:hideMark/>
          </w:tcPr>
          <w:p w:rsidR="00A271D0" w:rsidRPr="00706374" w:rsidRDefault="00A271D0" w:rsidP="00B104B6">
            <w:pPr>
              <w:pStyle w:val="NoSpacing"/>
              <w:jc w:val="center"/>
              <w:rPr>
                <w:b/>
                <w:sz w:val="22"/>
              </w:rPr>
            </w:pPr>
            <w:r w:rsidRPr="00706374">
              <w:rPr>
                <w:b/>
                <w:sz w:val="22"/>
              </w:rPr>
              <w:t>Annual Openings</w:t>
            </w:r>
          </w:p>
        </w:tc>
      </w:tr>
      <w:tr w:rsidR="00A271D0" w:rsidRPr="009716B2" w:rsidTr="00706374">
        <w:trPr>
          <w:trHeight w:val="576"/>
        </w:trPr>
        <w:tc>
          <w:tcPr>
            <w:tcW w:w="1393" w:type="pct"/>
            <w:shd w:val="clear" w:color="auto" w:fill="auto"/>
            <w:noWrap/>
            <w:vAlign w:val="center"/>
            <w:hideMark/>
          </w:tcPr>
          <w:p w:rsidR="00A271D0" w:rsidRPr="009716B2" w:rsidRDefault="00047412" w:rsidP="00B104B6">
            <w:pPr>
              <w:pStyle w:val="NoSpacing"/>
            </w:pPr>
            <w:r>
              <w:t>Software Developers, Applications (15-1132)</w:t>
            </w:r>
          </w:p>
        </w:tc>
        <w:tc>
          <w:tcPr>
            <w:tcW w:w="575" w:type="pct"/>
            <w:shd w:val="clear" w:color="auto" w:fill="auto"/>
            <w:noWrap/>
            <w:vAlign w:val="center"/>
          </w:tcPr>
          <w:p w:rsidR="00A271D0" w:rsidRPr="009716B2" w:rsidRDefault="00047412" w:rsidP="00B104B6">
            <w:pPr>
              <w:pStyle w:val="NoSpacing"/>
              <w:jc w:val="center"/>
            </w:pPr>
            <w:r>
              <w:t>2,874</w:t>
            </w:r>
          </w:p>
        </w:tc>
        <w:tc>
          <w:tcPr>
            <w:tcW w:w="576" w:type="pct"/>
            <w:shd w:val="clear" w:color="auto" w:fill="auto"/>
            <w:noWrap/>
            <w:vAlign w:val="center"/>
          </w:tcPr>
          <w:p w:rsidR="00A271D0" w:rsidRPr="009716B2" w:rsidRDefault="00047412" w:rsidP="00B104B6">
            <w:pPr>
              <w:pStyle w:val="NoSpacing"/>
              <w:jc w:val="center"/>
            </w:pPr>
            <w:r>
              <w:t>3,147</w:t>
            </w:r>
          </w:p>
        </w:tc>
        <w:tc>
          <w:tcPr>
            <w:tcW w:w="576" w:type="pct"/>
            <w:shd w:val="clear" w:color="auto" w:fill="auto"/>
            <w:noWrap/>
            <w:vAlign w:val="center"/>
          </w:tcPr>
          <w:p w:rsidR="00A271D0" w:rsidRPr="009716B2" w:rsidRDefault="00047412" w:rsidP="00B104B6">
            <w:pPr>
              <w:pStyle w:val="NoSpacing"/>
              <w:jc w:val="center"/>
            </w:pPr>
            <w:r>
              <w:t>273</w:t>
            </w:r>
          </w:p>
        </w:tc>
        <w:tc>
          <w:tcPr>
            <w:tcW w:w="576" w:type="pct"/>
            <w:shd w:val="clear" w:color="auto" w:fill="auto"/>
            <w:noWrap/>
            <w:vAlign w:val="center"/>
          </w:tcPr>
          <w:p w:rsidR="00A271D0" w:rsidRPr="009716B2" w:rsidRDefault="00047412" w:rsidP="00B104B6">
            <w:pPr>
              <w:pStyle w:val="NoSpacing"/>
              <w:jc w:val="center"/>
            </w:pPr>
            <w:r>
              <w:t>9%</w:t>
            </w:r>
          </w:p>
        </w:tc>
        <w:tc>
          <w:tcPr>
            <w:tcW w:w="703" w:type="pct"/>
            <w:shd w:val="clear" w:color="auto" w:fill="auto"/>
            <w:noWrap/>
            <w:vAlign w:val="center"/>
          </w:tcPr>
          <w:p w:rsidR="00A271D0" w:rsidRPr="00706374" w:rsidRDefault="00047412" w:rsidP="00B104B6">
            <w:pPr>
              <w:pStyle w:val="NoSpacing"/>
              <w:jc w:val="center"/>
              <w:rPr>
                <w:b/>
              </w:rPr>
            </w:pPr>
            <w:r w:rsidRPr="00706374">
              <w:rPr>
                <w:b/>
              </w:rPr>
              <w:t>492</w:t>
            </w:r>
          </w:p>
        </w:tc>
        <w:tc>
          <w:tcPr>
            <w:tcW w:w="601" w:type="pct"/>
            <w:shd w:val="clear" w:color="auto" w:fill="auto"/>
            <w:noWrap/>
            <w:vAlign w:val="center"/>
          </w:tcPr>
          <w:p w:rsidR="00A271D0" w:rsidRPr="00706374" w:rsidRDefault="00047412" w:rsidP="00B104B6">
            <w:pPr>
              <w:pStyle w:val="NoSpacing"/>
              <w:jc w:val="center"/>
              <w:rPr>
                <w:b/>
              </w:rPr>
            </w:pPr>
            <w:r w:rsidRPr="00706374">
              <w:rPr>
                <w:b/>
              </w:rPr>
              <w:t>98</w:t>
            </w:r>
          </w:p>
        </w:tc>
      </w:tr>
      <w:tr w:rsidR="00A271D0" w:rsidRPr="009716B2" w:rsidTr="00706374">
        <w:trPr>
          <w:trHeight w:val="576"/>
        </w:trPr>
        <w:tc>
          <w:tcPr>
            <w:tcW w:w="1393" w:type="pct"/>
            <w:shd w:val="clear" w:color="auto" w:fill="auto"/>
            <w:noWrap/>
            <w:vAlign w:val="center"/>
            <w:hideMark/>
          </w:tcPr>
          <w:p w:rsidR="00A271D0" w:rsidRPr="009716B2" w:rsidRDefault="00706374" w:rsidP="00B104B6">
            <w:pPr>
              <w:pStyle w:val="NoSpacing"/>
            </w:pPr>
            <w:r>
              <w:t>Web Developers (15</w:t>
            </w:r>
            <w:r>
              <w:noBreakHyphen/>
            </w:r>
            <w:r w:rsidR="00047412">
              <w:t>1134)</w:t>
            </w:r>
          </w:p>
        </w:tc>
        <w:tc>
          <w:tcPr>
            <w:tcW w:w="575" w:type="pct"/>
            <w:shd w:val="clear" w:color="auto" w:fill="auto"/>
            <w:noWrap/>
            <w:vAlign w:val="center"/>
          </w:tcPr>
          <w:p w:rsidR="00A271D0" w:rsidRPr="009716B2" w:rsidRDefault="00047412" w:rsidP="00B104B6">
            <w:pPr>
              <w:pStyle w:val="NoSpacing"/>
              <w:jc w:val="center"/>
            </w:pPr>
            <w:r>
              <w:t>1,046</w:t>
            </w:r>
          </w:p>
        </w:tc>
        <w:tc>
          <w:tcPr>
            <w:tcW w:w="576" w:type="pct"/>
            <w:shd w:val="clear" w:color="auto" w:fill="auto"/>
            <w:noWrap/>
            <w:vAlign w:val="center"/>
          </w:tcPr>
          <w:p w:rsidR="00A271D0" w:rsidRPr="009716B2" w:rsidRDefault="00047412" w:rsidP="00B104B6">
            <w:pPr>
              <w:pStyle w:val="NoSpacing"/>
              <w:jc w:val="center"/>
            </w:pPr>
            <w:r>
              <w:t>1,198</w:t>
            </w:r>
          </w:p>
        </w:tc>
        <w:tc>
          <w:tcPr>
            <w:tcW w:w="576" w:type="pct"/>
            <w:shd w:val="clear" w:color="auto" w:fill="auto"/>
            <w:noWrap/>
            <w:vAlign w:val="center"/>
          </w:tcPr>
          <w:p w:rsidR="00A271D0" w:rsidRPr="009716B2" w:rsidRDefault="00047412" w:rsidP="00B104B6">
            <w:pPr>
              <w:pStyle w:val="NoSpacing"/>
              <w:jc w:val="center"/>
            </w:pPr>
            <w:r>
              <w:t>152</w:t>
            </w:r>
          </w:p>
        </w:tc>
        <w:tc>
          <w:tcPr>
            <w:tcW w:w="576" w:type="pct"/>
            <w:shd w:val="clear" w:color="auto" w:fill="auto"/>
            <w:noWrap/>
            <w:vAlign w:val="center"/>
          </w:tcPr>
          <w:p w:rsidR="00A271D0" w:rsidRPr="009716B2" w:rsidRDefault="00047412" w:rsidP="00B104B6">
            <w:pPr>
              <w:pStyle w:val="NoSpacing"/>
              <w:jc w:val="center"/>
            </w:pPr>
            <w:r>
              <w:t>15%</w:t>
            </w:r>
          </w:p>
        </w:tc>
        <w:tc>
          <w:tcPr>
            <w:tcW w:w="703" w:type="pct"/>
            <w:shd w:val="clear" w:color="auto" w:fill="auto"/>
            <w:noWrap/>
            <w:vAlign w:val="center"/>
          </w:tcPr>
          <w:p w:rsidR="00A271D0" w:rsidRPr="00706374" w:rsidRDefault="00047412" w:rsidP="00B104B6">
            <w:pPr>
              <w:pStyle w:val="NoSpacing"/>
              <w:jc w:val="center"/>
              <w:rPr>
                <w:b/>
              </w:rPr>
            </w:pPr>
            <w:r w:rsidRPr="00706374">
              <w:rPr>
                <w:b/>
              </w:rPr>
              <w:t>226</w:t>
            </w:r>
          </w:p>
        </w:tc>
        <w:tc>
          <w:tcPr>
            <w:tcW w:w="601" w:type="pct"/>
            <w:shd w:val="clear" w:color="auto" w:fill="auto"/>
            <w:noWrap/>
            <w:vAlign w:val="center"/>
          </w:tcPr>
          <w:p w:rsidR="00A271D0" w:rsidRPr="00706374" w:rsidRDefault="00047412" w:rsidP="00B104B6">
            <w:pPr>
              <w:pStyle w:val="NoSpacing"/>
              <w:jc w:val="center"/>
              <w:rPr>
                <w:b/>
              </w:rPr>
            </w:pPr>
            <w:r w:rsidRPr="00706374">
              <w:rPr>
                <w:b/>
              </w:rPr>
              <w:t>45</w:t>
            </w:r>
          </w:p>
        </w:tc>
      </w:tr>
      <w:tr w:rsidR="00A271D0" w:rsidRPr="009716B2" w:rsidTr="00706374">
        <w:trPr>
          <w:trHeight w:val="576"/>
        </w:trPr>
        <w:tc>
          <w:tcPr>
            <w:tcW w:w="1393" w:type="pct"/>
            <w:shd w:val="clear" w:color="auto" w:fill="auto"/>
            <w:noWrap/>
            <w:vAlign w:val="center"/>
            <w:hideMark/>
          </w:tcPr>
          <w:p w:rsidR="0061481C" w:rsidRDefault="00047412" w:rsidP="00B104B6">
            <w:pPr>
              <w:pStyle w:val="NoSpacing"/>
            </w:pPr>
            <w:r>
              <w:t xml:space="preserve">Computer Programmers </w:t>
            </w:r>
          </w:p>
          <w:p w:rsidR="00A271D0" w:rsidRPr="009716B2" w:rsidRDefault="00047412" w:rsidP="00B104B6">
            <w:pPr>
              <w:pStyle w:val="NoSpacing"/>
            </w:pPr>
            <w:r>
              <w:t>(15-1131)</w:t>
            </w:r>
          </w:p>
        </w:tc>
        <w:tc>
          <w:tcPr>
            <w:tcW w:w="575" w:type="pct"/>
            <w:shd w:val="clear" w:color="auto" w:fill="auto"/>
            <w:noWrap/>
            <w:vAlign w:val="center"/>
          </w:tcPr>
          <w:p w:rsidR="00A271D0" w:rsidRPr="009716B2" w:rsidRDefault="00047412" w:rsidP="00B104B6">
            <w:pPr>
              <w:pStyle w:val="NoSpacing"/>
              <w:jc w:val="center"/>
            </w:pPr>
            <w:r>
              <w:t>951</w:t>
            </w:r>
          </w:p>
        </w:tc>
        <w:tc>
          <w:tcPr>
            <w:tcW w:w="576" w:type="pct"/>
            <w:shd w:val="clear" w:color="auto" w:fill="auto"/>
            <w:noWrap/>
            <w:vAlign w:val="center"/>
          </w:tcPr>
          <w:p w:rsidR="00A271D0" w:rsidRPr="009716B2" w:rsidRDefault="00047412" w:rsidP="00B104B6">
            <w:pPr>
              <w:pStyle w:val="NoSpacing"/>
              <w:jc w:val="center"/>
            </w:pPr>
            <w:r>
              <w:t>972</w:t>
            </w:r>
          </w:p>
        </w:tc>
        <w:tc>
          <w:tcPr>
            <w:tcW w:w="576" w:type="pct"/>
            <w:shd w:val="clear" w:color="auto" w:fill="auto"/>
            <w:noWrap/>
            <w:vAlign w:val="center"/>
          </w:tcPr>
          <w:p w:rsidR="00A271D0" w:rsidRPr="009716B2" w:rsidRDefault="00047412" w:rsidP="00B104B6">
            <w:pPr>
              <w:pStyle w:val="NoSpacing"/>
              <w:jc w:val="center"/>
            </w:pPr>
            <w:r>
              <w:t>21</w:t>
            </w:r>
          </w:p>
        </w:tc>
        <w:tc>
          <w:tcPr>
            <w:tcW w:w="576" w:type="pct"/>
            <w:shd w:val="clear" w:color="auto" w:fill="auto"/>
            <w:noWrap/>
            <w:vAlign w:val="center"/>
          </w:tcPr>
          <w:p w:rsidR="00A271D0" w:rsidRPr="009716B2" w:rsidRDefault="00047412" w:rsidP="00B104B6">
            <w:pPr>
              <w:pStyle w:val="NoSpacing"/>
              <w:jc w:val="center"/>
            </w:pPr>
            <w:r>
              <w:t>2%</w:t>
            </w:r>
          </w:p>
        </w:tc>
        <w:tc>
          <w:tcPr>
            <w:tcW w:w="703" w:type="pct"/>
            <w:shd w:val="clear" w:color="auto" w:fill="auto"/>
            <w:noWrap/>
            <w:vAlign w:val="center"/>
          </w:tcPr>
          <w:p w:rsidR="00A271D0" w:rsidRPr="00706374" w:rsidRDefault="00047412" w:rsidP="00B104B6">
            <w:pPr>
              <w:pStyle w:val="NoSpacing"/>
              <w:jc w:val="center"/>
              <w:rPr>
                <w:b/>
              </w:rPr>
            </w:pPr>
            <w:r w:rsidRPr="00706374">
              <w:rPr>
                <w:b/>
              </w:rPr>
              <w:t>146</w:t>
            </w:r>
          </w:p>
        </w:tc>
        <w:tc>
          <w:tcPr>
            <w:tcW w:w="601" w:type="pct"/>
            <w:shd w:val="clear" w:color="auto" w:fill="auto"/>
            <w:noWrap/>
            <w:vAlign w:val="center"/>
          </w:tcPr>
          <w:p w:rsidR="00A271D0" w:rsidRPr="00706374" w:rsidRDefault="00047412" w:rsidP="00B104B6">
            <w:pPr>
              <w:pStyle w:val="NoSpacing"/>
              <w:jc w:val="center"/>
              <w:rPr>
                <w:b/>
              </w:rPr>
            </w:pPr>
            <w:r w:rsidRPr="00706374">
              <w:rPr>
                <w:b/>
              </w:rPr>
              <w:t>29</w:t>
            </w:r>
          </w:p>
        </w:tc>
      </w:tr>
      <w:tr w:rsidR="00A271D0" w:rsidRPr="009716B2" w:rsidTr="00706374">
        <w:trPr>
          <w:trHeight w:val="576"/>
        </w:trPr>
        <w:tc>
          <w:tcPr>
            <w:tcW w:w="1393" w:type="pct"/>
            <w:shd w:val="clear" w:color="auto" w:fill="auto"/>
            <w:noWrap/>
            <w:vAlign w:val="center"/>
            <w:hideMark/>
          </w:tcPr>
          <w:p w:rsidR="00A271D0" w:rsidRPr="009716B2" w:rsidRDefault="00047412" w:rsidP="00B104B6">
            <w:pPr>
              <w:pStyle w:val="NoSpacing"/>
            </w:pPr>
            <w:r>
              <w:t>Software D</w:t>
            </w:r>
            <w:r w:rsidR="00706374">
              <w:t>evelopers, Systems Software (15</w:t>
            </w:r>
            <w:r w:rsidR="00706374">
              <w:noBreakHyphen/>
            </w:r>
            <w:r>
              <w:t>1133)</w:t>
            </w:r>
          </w:p>
        </w:tc>
        <w:tc>
          <w:tcPr>
            <w:tcW w:w="575" w:type="pct"/>
            <w:shd w:val="clear" w:color="auto" w:fill="auto"/>
            <w:noWrap/>
            <w:vAlign w:val="center"/>
          </w:tcPr>
          <w:p w:rsidR="00A271D0" w:rsidRPr="009716B2" w:rsidRDefault="00047412" w:rsidP="00B104B6">
            <w:pPr>
              <w:pStyle w:val="NoSpacing"/>
              <w:jc w:val="center"/>
            </w:pPr>
            <w:r>
              <w:t>890</w:t>
            </w:r>
          </w:p>
        </w:tc>
        <w:tc>
          <w:tcPr>
            <w:tcW w:w="576" w:type="pct"/>
            <w:shd w:val="clear" w:color="auto" w:fill="auto"/>
            <w:noWrap/>
            <w:vAlign w:val="center"/>
          </w:tcPr>
          <w:p w:rsidR="00A271D0" w:rsidRPr="009716B2" w:rsidRDefault="00047412" w:rsidP="00B104B6">
            <w:pPr>
              <w:pStyle w:val="NoSpacing"/>
              <w:jc w:val="center"/>
            </w:pPr>
            <w:r>
              <w:t>1,011</w:t>
            </w:r>
          </w:p>
        </w:tc>
        <w:tc>
          <w:tcPr>
            <w:tcW w:w="576" w:type="pct"/>
            <w:shd w:val="clear" w:color="auto" w:fill="auto"/>
            <w:noWrap/>
            <w:vAlign w:val="center"/>
          </w:tcPr>
          <w:p w:rsidR="00A271D0" w:rsidRPr="009716B2" w:rsidRDefault="00047412" w:rsidP="00B104B6">
            <w:pPr>
              <w:pStyle w:val="NoSpacing"/>
              <w:jc w:val="center"/>
            </w:pPr>
            <w:r>
              <w:t>121</w:t>
            </w:r>
          </w:p>
        </w:tc>
        <w:tc>
          <w:tcPr>
            <w:tcW w:w="576" w:type="pct"/>
            <w:shd w:val="clear" w:color="auto" w:fill="auto"/>
            <w:noWrap/>
            <w:vAlign w:val="center"/>
          </w:tcPr>
          <w:p w:rsidR="00A271D0" w:rsidRPr="009716B2" w:rsidRDefault="00047412" w:rsidP="00B104B6">
            <w:pPr>
              <w:pStyle w:val="NoSpacing"/>
              <w:jc w:val="center"/>
            </w:pPr>
            <w:r>
              <w:t>14%</w:t>
            </w:r>
          </w:p>
        </w:tc>
        <w:tc>
          <w:tcPr>
            <w:tcW w:w="703" w:type="pct"/>
            <w:shd w:val="clear" w:color="auto" w:fill="auto"/>
            <w:noWrap/>
            <w:vAlign w:val="center"/>
          </w:tcPr>
          <w:p w:rsidR="00A271D0" w:rsidRPr="00706374" w:rsidRDefault="00047412" w:rsidP="00B104B6">
            <w:pPr>
              <w:pStyle w:val="NoSpacing"/>
              <w:jc w:val="center"/>
              <w:rPr>
                <w:b/>
              </w:rPr>
            </w:pPr>
            <w:r w:rsidRPr="00706374">
              <w:rPr>
                <w:b/>
              </w:rPr>
              <w:t>190</w:t>
            </w:r>
          </w:p>
        </w:tc>
        <w:tc>
          <w:tcPr>
            <w:tcW w:w="601" w:type="pct"/>
            <w:shd w:val="clear" w:color="auto" w:fill="auto"/>
            <w:noWrap/>
            <w:vAlign w:val="center"/>
          </w:tcPr>
          <w:p w:rsidR="00A271D0" w:rsidRPr="00706374" w:rsidRDefault="00047412" w:rsidP="00B104B6">
            <w:pPr>
              <w:pStyle w:val="NoSpacing"/>
              <w:jc w:val="center"/>
              <w:rPr>
                <w:b/>
              </w:rPr>
            </w:pPr>
            <w:r w:rsidRPr="00706374">
              <w:rPr>
                <w:b/>
              </w:rPr>
              <w:t>38</w:t>
            </w:r>
          </w:p>
        </w:tc>
      </w:tr>
      <w:tr w:rsidR="00A271D0" w:rsidRPr="009716B2" w:rsidTr="00706374">
        <w:trPr>
          <w:trHeight w:val="576"/>
        </w:trPr>
        <w:tc>
          <w:tcPr>
            <w:tcW w:w="1393" w:type="pct"/>
            <w:shd w:val="clear" w:color="auto" w:fill="BFBFBF" w:themeFill="background1" w:themeFillShade="BF"/>
            <w:noWrap/>
            <w:vAlign w:val="center"/>
          </w:tcPr>
          <w:p w:rsidR="00A271D0" w:rsidRPr="009716B2" w:rsidRDefault="00633578" w:rsidP="00B104B6">
            <w:pPr>
              <w:pStyle w:val="NoSpacing"/>
              <w:rPr>
                <w:b/>
              </w:rPr>
            </w:pPr>
            <w:r>
              <w:rPr>
                <w:b/>
              </w:rPr>
              <w:t>Total</w:t>
            </w:r>
          </w:p>
        </w:tc>
        <w:tc>
          <w:tcPr>
            <w:tcW w:w="575" w:type="pct"/>
            <w:shd w:val="clear" w:color="auto" w:fill="BFBFBF" w:themeFill="background1" w:themeFillShade="BF"/>
            <w:noWrap/>
            <w:vAlign w:val="center"/>
          </w:tcPr>
          <w:p w:rsidR="00A271D0" w:rsidRPr="009716B2" w:rsidRDefault="00047412" w:rsidP="00B104B6">
            <w:pPr>
              <w:pStyle w:val="NoSpacing"/>
              <w:jc w:val="center"/>
              <w:rPr>
                <w:b/>
              </w:rPr>
            </w:pPr>
            <w:r>
              <w:rPr>
                <w:b/>
              </w:rPr>
              <w:t>5,760</w:t>
            </w:r>
          </w:p>
        </w:tc>
        <w:tc>
          <w:tcPr>
            <w:tcW w:w="576" w:type="pct"/>
            <w:shd w:val="clear" w:color="auto" w:fill="BFBFBF" w:themeFill="background1" w:themeFillShade="BF"/>
            <w:noWrap/>
            <w:vAlign w:val="center"/>
          </w:tcPr>
          <w:p w:rsidR="00A271D0" w:rsidRPr="009716B2" w:rsidRDefault="00047412" w:rsidP="00B104B6">
            <w:pPr>
              <w:pStyle w:val="NoSpacing"/>
              <w:jc w:val="center"/>
              <w:rPr>
                <w:b/>
              </w:rPr>
            </w:pPr>
            <w:r>
              <w:rPr>
                <w:b/>
              </w:rPr>
              <w:t>6,327</w:t>
            </w:r>
          </w:p>
        </w:tc>
        <w:tc>
          <w:tcPr>
            <w:tcW w:w="576" w:type="pct"/>
            <w:shd w:val="clear" w:color="auto" w:fill="BFBFBF" w:themeFill="background1" w:themeFillShade="BF"/>
            <w:noWrap/>
            <w:vAlign w:val="center"/>
          </w:tcPr>
          <w:p w:rsidR="00A271D0" w:rsidRPr="009716B2" w:rsidRDefault="00047412" w:rsidP="00B104B6">
            <w:pPr>
              <w:pStyle w:val="NoSpacing"/>
              <w:jc w:val="center"/>
              <w:rPr>
                <w:b/>
              </w:rPr>
            </w:pPr>
            <w:r>
              <w:rPr>
                <w:b/>
              </w:rPr>
              <w:t>567</w:t>
            </w:r>
          </w:p>
        </w:tc>
        <w:tc>
          <w:tcPr>
            <w:tcW w:w="576" w:type="pct"/>
            <w:shd w:val="clear" w:color="auto" w:fill="BFBFBF" w:themeFill="background1" w:themeFillShade="BF"/>
            <w:noWrap/>
            <w:vAlign w:val="center"/>
          </w:tcPr>
          <w:p w:rsidR="00A271D0" w:rsidRPr="009716B2" w:rsidRDefault="00047412" w:rsidP="00B104B6">
            <w:pPr>
              <w:pStyle w:val="NoSpacing"/>
              <w:jc w:val="center"/>
              <w:rPr>
                <w:b/>
              </w:rPr>
            </w:pPr>
            <w:r>
              <w:rPr>
                <w:b/>
              </w:rPr>
              <w:t>10%</w:t>
            </w:r>
          </w:p>
        </w:tc>
        <w:tc>
          <w:tcPr>
            <w:tcW w:w="703" w:type="pct"/>
            <w:shd w:val="clear" w:color="auto" w:fill="BFBFBF" w:themeFill="background1" w:themeFillShade="BF"/>
            <w:noWrap/>
            <w:vAlign w:val="center"/>
          </w:tcPr>
          <w:p w:rsidR="00A271D0" w:rsidRPr="00706374" w:rsidRDefault="00047412" w:rsidP="00B104B6">
            <w:pPr>
              <w:pStyle w:val="NoSpacing"/>
              <w:jc w:val="center"/>
              <w:rPr>
                <w:b/>
              </w:rPr>
            </w:pPr>
            <w:r w:rsidRPr="00706374">
              <w:rPr>
                <w:b/>
              </w:rPr>
              <w:t>1,054</w:t>
            </w:r>
          </w:p>
        </w:tc>
        <w:tc>
          <w:tcPr>
            <w:tcW w:w="601" w:type="pct"/>
            <w:shd w:val="clear" w:color="auto" w:fill="BFBFBF" w:themeFill="background1" w:themeFillShade="BF"/>
            <w:noWrap/>
            <w:vAlign w:val="center"/>
          </w:tcPr>
          <w:p w:rsidR="00A271D0" w:rsidRPr="00706374" w:rsidRDefault="00047412" w:rsidP="00B104B6">
            <w:pPr>
              <w:pStyle w:val="NoSpacing"/>
              <w:jc w:val="center"/>
              <w:rPr>
                <w:b/>
              </w:rPr>
            </w:pPr>
            <w:r w:rsidRPr="00706374">
              <w:rPr>
                <w:b/>
              </w:rPr>
              <w:t>211</w:t>
            </w:r>
          </w:p>
        </w:tc>
      </w:tr>
    </w:tbl>
    <w:p w:rsidR="00DF1DB0" w:rsidRPr="006F33A1" w:rsidRDefault="00DF1DB0" w:rsidP="00057ED5">
      <w:pPr>
        <w:spacing w:after="0" w:line="360" w:lineRule="auto"/>
        <w:rPr>
          <w:rFonts w:eastAsia="Times New Roman"/>
          <w:sz w:val="20"/>
        </w:rPr>
      </w:pPr>
      <w:r w:rsidRPr="006F33A1">
        <w:rPr>
          <w:sz w:val="20"/>
        </w:rPr>
        <w:t>Source: EMSI</w:t>
      </w:r>
      <w:r w:rsidRPr="006F33A1">
        <w:rPr>
          <w:rFonts w:eastAsia="Times New Roman"/>
          <w:sz w:val="20"/>
        </w:rPr>
        <w:t xml:space="preserve"> </w:t>
      </w:r>
      <w:r w:rsidR="00047412">
        <w:rPr>
          <w:rFonts w:eastAsia="Times New Roman"/>
          <w:sz w:val="20"/>
        </w:rPr>
        <w:t>Class of Worker 2017.1</w:t>
      </w:r>
    </w:p>
    <w:p w:rsidR="006F33A1" w:rsidRDefault="006F33A1" w:rsidP="00057ED5">
      <w:pPr>
        <w:pStyle w:val="Heading2"/>
        <w:spacing w:before="0" w:line="360" w:lineRule="auto"/>
        <w:jc w:val="both"/>
        <w:rPr>
          <w:rFonts w:eastAsia="Times New Roman"/>
        </w:rPr>
      </w:pPr>
    </w:p>
    <w:p w:rsidR="006F33A1" w:rsidRDefault="006F33A1" w:rsidP="00057ED5">
      <w:pPr>
        <w:pStyle w:val="Heading2"/>
        <w:spacing w:before="0" w:line="360" w:lineRule="auto"/>
        <w:jc w:val="both"/>
        <w:rPr>
          <w:rFonts w:eastAsia="Times New Roman"/>
        </w:rPr>
      </w:pPr>
    </w:p>
    <w:p w:rsidR="006F33A1" w:rsidRDefault="006F33A1">
      <w:pPr>
        <w:rPr>
          <w:rFonts w:asciiTheme="majorHAnsi" w:eastAsia="Times New Roman" w:hAnsiTheme="majorHAnsi" w:cstheme="majorBidi"/>
          <w:b/>
          <w:bCs/>
          <w:color w:val="6076B4" w:themeColor="accent1"/>
          <w:sz w:val="26"/>
          <w:szCs w:val="26"/>
        </w:rPr>
      </w:pPr>
      <w:r>
        <w:rPr>
          <w:rFonts w:eastAsia="Times New Roman"/>
        </w:rPr>
        <w:br w:type="page"/>
      </w:r>
    </w:p>
    <w:p w:rsidR="00AE0272" w:rsidRDefault="00B53D1A" w:rsidP="00057ED5">
      <w:pPr>
        <w:pStyle w:val="Heading2"/>
        <w:spacing w:before="0" w:line="360" w:lineRule="auto"/>
        <w:jc w:val="both"/>
        <w:rPr>
          <w:rFonts w:eastAsia="Times New Roman"/>
        </w:rPr>
      </w:pPr>
      <w:r>
        <w:rPr>
          <w:rFonts w:eastAsia="Times New Roman"/>
        </w:rPr>
        <w:lastRenderedPageBreak/>
        <w:t>E</w:t>
      </w:r>
      <w:r w:rsidR="00493C5B">
        <w:rPr>
          <w:rFonts w:eastAsia="Times New Roman"/>
        </w:rPr>
        <w:t>arnings</w:t>
      </w:r>
    </w:p>
    <w:p w:rsidR="002E7FD9" w:rsidRDefault="007E45ED" w:rsidP="00057ED5">
      <w:pPr>
        <w:spacing w:after="0" w:line="360" w:lineRule="auto"/>
        <w:rPr>
          <w:bdr w:val="none" w:sz="0" w:space="0" w:color="auto" w:frame="1"/>
          <w:shd w:val="clear" w:color="auto" w:fill="FFFFFF"/>
        </w:rPr>
      </w:pPr>
      <w:r>
        <w:t xml:space="preserve">In </w:t>
      </w:r>
      <w:r w:rsidR="00516D4F" w:rsidRPr="00196916">
        <w:rPr>
          <w:bdr w:val="none" w:sz="0" w:space="0" w:color="auto" w:frame="1"/>
          <w:shd w:val="clear" w:color="auto" w:fill="FFFFFF"/>
        </w:rPr>
        <w:t>the Riverside-San Bernardino-Ontario MSA</w:t>
      </w:r>
      <w:r>
        <w:t>, t</w:t>
      </w:r>
      <w:r w:rsidR="00AE0272" w:rsidRPr="00196916">
        <w:t xml:space="preserve">he </w:t>
      </w:r>
      <w:r w:rsidR="00706374">
        <w:t>entry</w:t>
      </w:r>
      <w:r w:rsidR="00AE0272" w:rsidRPr="00196916">
        <w:t xml:space="preserve"> wage for </w:t>
      </w:r>
      <w:r w:rsidR="00706374">
        <w:t xml:space="preserve">the </w:t>
      </w:r>
      <w:r w:rsidR="00047412">
        <w:t>computer programming</w:t>
      </w:r>
      <w:r w:rsidR="00391F5C">
        <w:t xml:space="preserve"> </w:t>
      </w:r>
      <w:r w:rsidR="00706374">
        <w:t xml:space="preserve">occupation group </w:t>
      </w:r>
      <w:r w:rsidR="00391F5C">
        <w:t>is</w:t>
      </w:r>
      <w:r w:rsidR="00516D4F">
        <w:t xml:space="preserve"> </w:t>
      </w:r>
      <w:r w:rsidR="00AE0272" w:rsidRPr="00196916">
        <w:rPr>
          <w:bdr w:val="none" w:sz="0" w:space="0" w:color="auto" w:frame="1"/>
          <w:shd w:val="clear" w:color="auto" w:fill="FFFFFF"/>
        </w:rPr>
        <w:t>$</w:t>
      </w:r>
      <w:r w:rsidR="00706374">
        <w:rPr>
          <w:bdr w:val="none" w:sz="0" w:space="0" w:color="auto" w:frame="1"/>
          <w:shd w:val="clear" w:color="auto" w:fill="FFFFFF"/>
        </w:rPr>
        <w:t>26</w:t>
      </w:r>
      <w:r w:rsidR="00385EB3">
        <w:rPr>
          <w:bdr w:val="none" w:sz="0" w:space="0" w:color="auto" w:frame="1"/>
          <w:shd w:val="clear" w:color="auto" w:fill="FFFFFF"/>
        </w:rPr>
        <w:t>.</w:t>
      </w:r>
      <w:r w:rsidR="00706374">
        <w:rPr>
          <w:bdr w:val="none" w:sz="0" w:space="0" w:color="auto" w:frame="1"/>
          <w:shd w:val="clear" w:color="auto" w:fill="FFFFFF"/>
        </w:rPr>
        <w:t>73</w:t>
      </w:r>
      <w:r w:rsidR="00AE0272" w:rsidRPr="00196916">
        <w:rPr>
          <w:bdr w:val="none" w:sz="0" w:space="0" w:color="auto" w:frame="1"/>
          <w:shd w:val="clear" w:color="auto" w:fill="FFFFFF"/>
        </w:rPr>
        <w:t xml:space="preserve"> per hour,</w:t>
      </w:r>
      <w:r w:rsidR="0095568A">
        <w:rPr>
          <w:bdr w:val="none" w:sz="0" w:space="0" w:color="auto" w:frame="1"/>
          <w:shd w:val="clear" w:color="auto" w:fill="FFFFFF"/>
        </w:rPr>
        <w:t xml:space="preserve"> </w:t>
      </w:r>
      <w:r w:rsidR="00315CE9">
        <w:rPr>
          <w:bdr w:val="none" w:sz="0" w:space="0" w:color="auto" w:frame="1"/>
          <w:shd w:val="clear" w:color="auto" w:fill="FFFFFF"/>
        </w:rPr>
        <w:t xml:space="preserve">above </w:t>
      </w:r>
      <w:r w:rsidR="00AE0272" w:rsidRPr="00196916">
        <w:rPr>
          <w:bdr w:val="none" w:sz="0" w:space="0" w:color="auto" w:frame="1"/>
          <w:shd w:val="clear" w:color="auto" w:fill="FFFFFF"/>
        </w:rPr>
        <w:t>the MI</w:t>
      </w:r>
      <w:r w:rsidR="00DD4914">
        <w:rPr>
          <w:bdr w:val="none" w:sz="0" w:space="0" w:color="auto" w:frame="1"/>
          <w:shd w:val="clear" w:color="auto" w:fill="FFFFFF"/>
        </w:rPr>
        <w:t>T Living Wage estimate of $11.75</w:t>
      </w:r>
      <w:r w:rsidR="00AE0272" w:rsidRPr="00196916">
        <w:rPr>
          <w:bdr w:val="none" w:sz="0" w:space="0" w:color="auto" w:frame="1"/>
          <w:shd w:val="clear" w:color="auto" w:fill="FFFFFF"/>
        </w:rPr>
        <w:t xml:space="preserve"> per hour for a single adult living in the Riverside-San Bernardino-Ontario MSA. </w:t>
      </w:r>
      <w:r w:rsidR="00315CE9">
        <w:rPr>
          <w:bdr w:val="none" w:sz="0" w:space="0" w:color="auto" w:frame="1"/>
          <w:shd w:val="clear" w:color="auto" w:fill="FFFFFF"/>
        </w:rPr>
        <w:t>T</w:t>
      </w:r>
      <w:r w:rsidR="000A25F8">
        <w:rPr>
          <w:bdr w:val="none" w:sz="0" w:space="0" w:color="auto" w:frame="1"/>
          <w:shd w:val="clear" w:color="auto" w:fill="FFFFFF"/>
        </w:rPr>
        <w:t xml:space="preserve">he </w:t>
      </w:r>
      <w:r w:rsidR="007F0FC6">
        <w:rPr>
          <w:bdr w:val="none" w:sz="0" w:space="0" w:color="auto" w:frame="1"/>
          <w:shd w:val="clear" w:color="auto" w:fill="FFFFFF"/>
        </w:rPr>
        <w:t xml:space="preserve">combined </w:t>
      </w:r>
      <w:r w:rsidR="00516D4F">
        <w:rPr>
          <w:bdr w:val="none" w:sz="0" w:space="0" w:color="auto" w:frame="1"/>
          <w:shd w:val="clear" w:color="auto" w:fill="FFFFFF"/>
        </w:rPr>
        <w:t xml:space="preserve">average </w:t>
      </w:r>
      <w:r w:rsidR="000A25F8">
        <w:rPr>
          <w:bdr w:val="none" w:sz="0" w:space="0" w:color="auto" w:frame="1"/>
          <w:shd w:val="clear" w:color="auto" w:fill="FFFFFF"/>
        </w:rPr>
        <w:t>annual</w:t>
      </w:r>
      <w:r w:rsidR="00516D4F">
        <w:rPr>
          <w:bdr w:val="none" w:sz="0" w:space="0" w:color="auto" w:frame="1"/>
          <w:shd w:val="clear" w:color="auto" w:fill="FFFFFF"/>
        </w:rPr>
        <w:t xml:space="preserve"> earnings for these</w:t>
      </w:r>
      <w:r w:rsidR="000A25F8">
        <w:rPr>
          <w:bdr w:val="none" w:sz="0" w:space="0" w:color="auto" w:frame="1"/>
          <w:shd w:val="clear" w:color="auto" w:fill="FFFFFF"/>
        </w:rPr>
        <w:t xml:space="preserve"> occupation</w:t>
      </w:r>
      <w:r w:rsidR="00516D4F">
        <w:rPr>
          <w:bdr w:val="none" w:sz="0" w:space="0" w:color="auto" w:frame="1"/>
          <w:shd w:val="clear" w:color="auto" w:fill="FFFFFF"/>
        </w:rPr>
        <w:t>s</w:t>
      </w:r>
      <w:r w:rsidR="000A25F8">
        <w:rPr>
          <w:bdr w:val="none" w:sz="0" w:space="0" w:color="auto" w:frame="1"/>
          <w:shd w:val="clear" w:color="auto" w:fill="FFFFFF"/>
        </w:rPr>
        <w:t xml:space="preserve"> </w:t>
      </w:r>
      <w:r w:rsidR="00381FD1">
        <w:rPr>
          <w:bdr w:val="none" w:sz="0" w:space="0" w:color="auto" w:frame="1"/>
          <w:shd w:val="clear" w:color="auto" w:fill="FFFFFF"/>
        </w:rPr>
        <w:t>are</w:t>
      </w:r>
      <w:r w:rsidR="000A25F8">
        <w:rPr>
          <w:bdr w:val="none" w:sz="0" w:space="0" w:color="auto" w:frame="1"/>
          <w:shd w:val="clear" w:color="auto" w:fill="FFFFFF"/>
        </w:rPr>
        <w:t xml:space="preserve"> $</w:t>
      </w:r>
      <w:r w:rsidR="00385EB3">
        <w:rPr>
          <w:bdr w:val="none" w:sz="0" w:space="0" w:color="auto" w:frame="1"/>
          <w:shd w:val="clear" w:color="auto" w:fill="FFFFFF"/>
        </w:rPr>
        <w:t>85,779</w:t>
      </w:r>
      <w:r w:rsidR="000A25F8">
        <w:rPr>
          <w:bdr w:val="none" w:sz="0" w:space="0" w:color="auto" w:frame="1"/>
          <w:shd w:val="clear" w:color="auto" w:fill="FFFFFF"/>
        </w:rPr>
        <w:t xml:space="preserve"> per year</w:t>
      </w:r>
      <w:r w:rsidR="004E63CF">
        <w:rPr>
          <w:bdr w:val="none" w:sz="0" w:space="0" w:color="auto" w:frame="1"/>
          <w:shd w:val="clear" w:color="auto" w:fill="FFFFFF"/>
        </w:rPr>
        <w:t>, assuming full-time employment</w:t>
      </w:r>
      <w:r w:rsidR="00817790">
        <w:rPr>
          <w:bdr w:val="none" w:sz="0" w:space="0" w:color="auto" w:frame="1"/>
          <w:shd w:val="clear" w:color="auto" w:fill="FFFFFF"/>
        </w:rPr>
        <w:t>.</w:t>
      </w:r>
      <w:r w:rsidR="00516D4F">
        <w:rPr>
          <w:bdr w:val="none" w:sz="0" w:space="0" w:color="auto" w:frame="1"/>
          <w:shd w:val="clear" w:color="auto" w:fill="FFFFFF"/>
        </w:rPr>
        <w:t xml:space="preserve"> </w:t>
      </w:r>
    </w:p>
    <w:p w:rsidR="006F33A1" w:rsidRDefault="006F33A1" w:rsidP="00057ED5">
      <w:pPr>
        <w:pStyle w:val="Quote"/>
        <w:spacing w:after="0" w:line="360" w:lineRule="auto"/>
      </w:pPr>
    </w:p>
    <w:p w:rsidR="00C84F4B" w:rsidRDefault="00C84F4B" w:rsidP="00057ED5">
      <w:pPr>
        <w:pStyle w:val="Quote"/>
        <w:spacing w:after="0" w:line="360" w:lineRule="auto"/>
      </w:pPr>
      <w:r w:rsidRPr="00040AFD">
        <w:t xml:space="preserve">Exhibit 2: Earnings for </w:t>
      </w:r>
      <w:r w:rsidR="00706374">
        <w:t xml:space="preserve">the </w:t>
      </w:r>
      <w:r w:rsidR="00385EB3">
        <w:t>computer programming</w:t>
      </w:r>
      <w:r w:rsidR="006F33A1">
        <w:t xml:space="preserve"> occupation</w:t>
      </w:r>
      <w:r w:rsidR="00706374">
        <w:t xml:space="preserve"> group</w:t>
      </w:r>
      <w:r w:rsidR="00B126FB">
        <w:t xml:space="preserve"> in the Riverside-San Bernardino-Ontario MSA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490"/>
        <w:gridCol w:w="1490"/>
        <w:gridCol w:w="1488"/>
        <w:gridCol w:w="1490"/>
      </w:tblGrid>
      <w:tr w:rsidR="00A271D0" w:rsidRPr="00B126FB" w:rsidTr="00706374">
        <w:trPr>
          <w:trHeight w:val="845"/>
        </w:trPr>
        <w:tc>
          <w:tcPr>
            <w:tcW w:w="1889" w:type="pct"/>
            <w:shd w:val="clear" w:color="000000" w:fill="204354"/>
            <w:vAlign w:val="center"/>
            <w:hideMark/>
          </w:tcPr>
          <w:p w:rsidR="00A271D0" w:rsidRPr="00B126FB" w:rsidRDefault="00A271D0" w:rsidP="00706374">
            <w:pPr>
              <w:pStyle w:val="NoSpacing"/>
            </w:pPr>
            <w:r>
              <w:t>Occupations (SOC)</w:t>
            </w:r>
          </w:p>
        </w:tc>
        <w:tc>
          <w:tcPr>
            <w:tcW w:w="778" w:type="pct"/>
            <w:shd w:val="clear" w:color="000000" w:fill="204354"/>
            <w:vAlign w:val="center"/>
            <w:hideMark/>
          </w:tcPr>
          <w:p w:rsidR="00A271D0" w:rsidRPr="00B126FB" w:rsidRDefault="00A271D0" w:rsidP="00706374">
            <w:pPr>
              <w:pStyle w:val="NoSpacing"/>
              <w:jc w:val="center"/>
            </w:pPr>
            <w:r w:rsidRPr="00B126FB">
              <w:t>Entry Hourly Earnings</w:t>
            </w:r>
          </w:p>
        </w:tc>
        <w:tc>
          <w:tcPr>
            <w:tcW w:w="778" w:type="pct"/>
            <w:shd w:val="clear" w:color="000000" w:fill="204354"/>
            <w:vAlign w:val="center"/>
            <w:hideMark/>
          </w:tcPr>
          <w:p w:rsidR="00A271D0" w:rsidRPr="00B126FB" w:rsidRDefault="00A271D0" w:rsidP="00706374">
            <w:pPr>
              <w:pStyle w:val="NoSpacing"/>
              <w:jc w:val="center"/>
            </w:pPr>
            <w:r w:rsidRPr="00B126FB">
              <w:t>Median Hourly Earnings</w:t>
            </w:r>
          </w:p>
        </w:tc>
        <w:tc>
          <w:tcPr>
            <w:tcW w:w="777" w:type="pct"/>
            <w:tcBorders>
              <w:right w:val="single" w:sz="12" w:space="0" w:color="auto"/>
            </w:tcBorders>
            <w:shd w:val="clear" w:color="000000" w:fill="204354"/>
            <w:vAlign w:val="center"/>
            <w:hideMark/>
          </w:tcPr>
          <w:p w:rsidR="00A271D0" w:rsidRPr="00B126FB" w:rsidRDefault="00A271D0" w:rsidP="00706374">
            <w:pPr>
              <w:pStyle w:val="NoSpacing"/>
              <w:jc w:val="center"/>
            </w:pPr>
            <w:r w:rsidRPr="00B126FB">
              <w:t>Experienced Hourly Earnings</w:t>
            </w:r>
          </w:p>
        </w:tc>
        <w:tc>
          <w:tcPr>
            <w:tcW w:w="778" w:type="pct"/>
            <w:tcBorders>
              <w:left w:val="single" w:sz="12" w:space="0" w:color="auto"/>
            </w:tcBorders>
            <w:shd w:val="clear" w:color="000000" w:fill="204354"/>
            <w:vAlign w:val="center"/>
            <w:hideMark/>
          </w:tcPr>
          <w:p w:rsidR="00A271D0" w:rsidRPr="00B126FB" w:rsidRDefault="00A271D0" w:rsidP="00706374">
            <w:pPr>
              <w:pStyle w:val="NoSpacing"/>
              <w:jc w:val="center"/>
            </w:pPr>
            <w:r w:rsidRPr="00B126FB">
              <w:t>Avg. Annual Earnings</w:t>
            </w:r>
          </w:p>
        </w:tc>
      </w:tr>
      <w:tr w:rsidR="00A271D0" w:rsidRPr="00B126FB" w:rsidTr="00706374">
        <w:trPr>
          <w:trHeight w:val="479"/>
        </w:trPr>
        <w:tc>
          <w:tcPr>
            <w:tcW w:w="1889" w:type="pct"/>
            <w:shd w:val="clear" w:color="auto" w:fill="auto"/>
            <w:noWrap/>
            <w:vAlign w:val="center"/>
            <w:hideMark/>
          </w:tcPr>
          <w:p w:rsidR="00A271D0" w:rsidRPr="00B126FB" w:rsidRDefault="00385EB3" w:rsidP="00706374">
            <w:pPr>
              <w:pStyle w:val="NoSpacing"/>
            </w:pPr>
            <w:r>
              <w:t>Software Developers, Applications (15-1132)</w:t>
            </w:r>
          </w:p>
        </w:tc>
        <w:tc>
          <w:tcPr>
            <w:tcW w:w="778" w:type="pct"/>
            <w:shd w:val="clear" w:color="auto" w:fill="auto"/>
            <w:noWrap/>
            <w:vAlign w:val="center"/>
          </w:tcPr>
          <w:p w:rsidR="00A271D0" w:rsidRPr="00B126FB" w:rsidRDefault="00385EB3" w:rsidP="00706374">
            <w:pPr>
              <w:pStyle w:val="NoSpacing"/>
              <w:jc w:val="center"/>
            </w:pPr>
            <w:r>
              <w:t>$31.37</w:t>
            </w:r>
          </w:p>
        </w:tc>
        <w:tc>
          <w:tcPr>
            <w:tcW w:w="778" w:type="pct"/>
            <w:shd w:val="clear" w:color="auto" w:fill="auto"/>
            <w:noWrap/>
            <w:vAlign w:val="center"/>
          </w:tcPr>
          <w:p w:rsidR="00A271D0" w:rsidRPr="00B126FB" w:rsidRDefault="00385EB3" w:rsidP="00706374">
            <w:pPr>
              <w:pStyle w:val="NoSpacing"/>
              <w:jc w:val="center"/>
            </w:pPr>
            <w:r>
              <w:t>$45.41</w:t>
            </w:r>
          </w:p>
        </w:tc>
        <w:tc>
          <w:tcPr>
            <w:tcW w:w="777" w:type="pct"/>
            <w:tcBorders>
              <w:right w:val="single" w:sz="12" w:space="0" w:color="auto"/>
            </w:tcBorders>
            <w:shd w:val="clear" w:color="auto" w:fill="auto"/>
            <w:noWrap/>
            <w:vAlign w:val="center"/>
          </w:tcPr>
          <w:p w:rsidR="00A271D0" w:rsidRPr="00B126FB" w:rsidRDefault="00385EB3" w:rsidP="00706374">
            <w:pPr>
              <w:pStyle w:val="NoSpacing"/>
              <w:jc w:val="center"/>
            </w:pPr>
            <w:r>
              <w:t>$64.93</w:t>
            </w:r>
          </w:p>
        </w:tc>
        <w:tc>
          <w:tcPr>
            <w:tcW w:w="778" w:type="pct"/>
            <w:tcBorders>
              <w:left w:val="single" w:sz="12" w:space="0" w:color="auto"/>
            </w:tcBorders>
            <w:shd w:val="clear" w:color="auto" w:fill="auto"/>
            <w:noWrap/>
            <w:vAlign w:val="center"/>
          </w:tcPr>
          <w:p w:rsidR="00A271D0" w:rsidRPr="00B126FB" w:rsidRDefault="00385EB3" w:rsidP="00706374">
            <w:pPr>
              <w:pStyle w:val="NoSpacing"/>
              <w:jc w:val="center"/>
            </w:pPr>
            <w:r>
              <w:t>$97,011</w:t>
            </w:r>
          </w:p>
        </w:tc>
      </w:tr>
      <w:tr w:rsidR="00A271D0" w:rsidRPr="00B126FB" w:rsidTr="00706374">
        <w:trPr>
          <w:trHeight w:val="479"/>
        </w:trPr>
        <w:tc>
          <w:tcPr>
            <w:tcW w:w="1889" w:type="pct"/>
            <w:shd w:val="clear" w:color="auto" w:fill="auto"/>
            <w:noWrap/>
            <w:vAlign w:val="center"/>
            <w:hideMark/>
          </w:tcPr>
          <w:p w:rsidR="00A271D0" w:rsidRPr="00B126FB" w:rsidRDefault="00385EB3" w:rsidP="00706374">
            <w:pPr>
              <w:pStyle w:val="NoSpacing"/>
            </w:pPr>
            <w:r>
              <w:t>Software Developers, Systems Software (15-1133)</w:t>
            </w:r>
          </w:p>
        </w:tc>
        <w:tc>
          <w:tcPr>
            <w:tcW w:w="778" w:type="pct"/>
            <w:shd w:val="clear" w:color="auto" w:fill="auto"/>
            <w:noWrap/>
            <w:vAlign w:val="center"/>
          </w:tcPr>
          <w:p w:rsidR="00A271D0" w:rsidRPr="00B126FB" w:rsidRDefault="00385EB3" w:rsidP="00706374">
            <w:pPr>
              <w:pStyle w:val="NoSpacing"/>
              <w:jc w:val="center"/>
            </w:pPr>
            <w:r>
              <w:t>$31.18</w:t>
            </w:r>
          </w:p>
        </w:tc>
        <w:tc>
          <w:tcPr>
            <w:tcW w:w="778" w:type="pct"/>
            <w:shd w:val="clear" w:color="auto" w:fill="auto"/>
            <w:noWrap/>
            <w:vAlign w:val="center"/>
          </w:tcPr>
          <w:p w:rsidR="00A271D0" w:rsidRPr="00B126FB" w:rsidRDefault="00385EB3" w:rsidP="00706374">
            <w:pPr>
              <w:pStyle w:val="NoSpacing"/>
              <w:jc w:val="center"/>
            </w:pPr>
            <w:r>
              <w:t>$48.18</w:t>
            </w:r>
          </w:p>
        </w:tc>
        <w:tc>
          <w:tcPr>
            <w:tcW w:w="777" w:type="pct"/>
            <w:tcBorders>
              <w:right w:val="single" w:sz="12" w:space="0" w:color="auto"/>
            </w:tcBorders>
            <w:shd w:val="clear" w:color="auto" w:fill="auto"/>
            <w:noWrap/>
            <w:vAlign w:val="center"/>
          </w:tcPr>
          <w:p w:rsidR="00A271D0" w:rsidRPr="00B126FB" w:rsidRDefault="00385EB3" w:rsidP="00706374">
            <w:pPr>
              <w:pStyle w:val="NoSpacing"/>
              <w:jc w:val="center"/>
            </w:pPr>
            <w:r>
              <w:t>$67.25</w:t>
            </w:r>
          </w:p>
        </w:tc>
        <w:tc>
          <w:tcPr>
            <w:tcW w:w="778" w:type="pct"/>
            <w:tcBorders>
              <w:left w:val="single" w:sz="12" w:space="0" w:color="auto"/>
            </w:tcBorders>
            <w:shd w:val="clear" w:color="auto" w:fill="auto"/>
            <w:noWrap/>
            <w:vAlign w:val="center"/>
          </w:tcPr>
          <w:p w:rsidR="00A271D0" w:rsidRPr="00B126FB" w:rsidRDefault="00385EB3" w:rsidP="00706374">
            <w:pPr>
              <w:pStyle w:val="NoSpacing"/>
              <w:jc w:val="center"/>
            </w:pPr>
            <w:r>
              <w:t>$99,632</w:t>
            </w:r>
          </w:p>
        </w:tc>
      </w:tr>
      <w:tr w:rsidR="00A271D0" w:rsidRPr="00B126FB" w:rsidTr="00706374">
        <w:trPr>
          <w:trHeight w:val="479"/>
        </w:trPr>
        <w:tc>
          <w:tcPr>
            <w:tcW w:w="1889" w:type="pct"/>
            <w:shd w:val="clear" w:color="auto" w:fill="auto"/>
            <w:noWrap/>
            <w:vAlign w:val="center"/>
            <w:hideMark/>
          </w:tcPr>
          <w:p w:rsidR="00A271D0" w:rsidRPr="00B126FB" w:rsidRDefault="00385EB3" w:rsidP="00706374">
            <w:pPr>
              <w:pStyle w:val="NoSpacing"/>
            </w:pPr>
            <w:r>
              <w:t>Computer Programmers (15-1131)</w:t>
            </w:r>
          </w:p>
        </w:tc>
        <w:tc>
          <w:tcPr>
            <w:tcW w:w="778" w:type="pct"/>
            <w:shd w:val="clear" w:color="auto" w:fill="auto"/>
            <w:noWrap/>
            <w:vAlign w:val="center"/>
          </w:tcPr>
          <w:p w:rsidR="00A271D0" w:rsidRPr="00B126FB" w:rsidRDefault="00385EB3" w:rsidP="00706374">
            <w:pPr>
              <w:pStyle w:val="NoSpacing"/>
              <w:jc w:val="center"/>
            </w:pPr>
            <w:r>
              <w:t>$22.04</w:t>
            </w:r>
          </w:p>
        </w:tc>
        <w:tc>
          <w:tcPr>
            <w:tcW w:w="778" w:type="pct"/>
            <w:shd w:val="clear" w:color="auto" w:fill="auto"/>
            <w:noWrap/>
            <w:vAlign w:val="center"/>
          </w:tcPr>
          <w:p w:rsidR="00A271D0" w:rsidRPr="00B126FB" w:rsidRDefault="00385EB3" w:rsidP="00706374">
            <w:pPr>
              <w:pStyle w:val="NoSpacing"/>
              <w:jc w:val="center"/>
            </w:pPr>
            <w:r>
              <w:t>$33.37</w:t>
            </w:r>
          </w:p>
        </w:tc>
        <w:tc>
          <w:tcPr>
            <w:tcW w:w="777" w:type="pct"/>
            <w:tcBorders>
              <w:right w:val="single" w:sz="12" w:space="0" w:color="auto"/>
            </w:tcBorders>
            <w:shd w:val="clear" w:color="auto" w:fill="auto"/>
            <w:noWrap/>
            <w:vAlign w:val="center"/>
          </w:tcPr>
          <w:p w:rsidR="00A271D0" w:rsidRPr="00B126FB" w:rsidRDefault="00385EB3" w:rsidP="00706374">
            <w:pPr>
              <w:pStyle w:val="NoSpacing"/>
              <w:jc w:val="center"/>
            </w:pPr>
            <w:r>
              <w:t>$49.10</w:t>
            </w:r>
          </w:p>
        </w:tc>
        <w:tc>
          <w:tcPr>
            <w:tcW w:w="778" w:type="pct"/>
            <w:tcBorders>
              <w:left w:val="single" w:sz="12" w:space="0" w:color="auto"/>
            </w:tcBorders>
            <w:shd w:val="clear" w:color="auto" w:fill="auto"/>
            <w:noWrap/>
            <w:vAlign w:val="center"/>
          </w:tcPr>
          <w:p w:rsidR="00A271D0" w:rsidRPr="00B126FB" w:rsidRDefault="00385EB3" w:rsidP="00706374">
            <w:pPr>
              <w:pStyle w:val="NoSpacing"/>
              <w:jc w:val="center"/>
            </w:pPr>
            <w:r>
              <w:t>$72,301</w:t>
            </w:r>
          </w:p>
        </w:tc>
      </w:tr>
      <w:tr w:rsidR="00A271D0" w:rsidRPr="00B126FB" w:rsidTr="00706374">
        <w:trPr>
          <w:trHeight w:val="479"/>
        </w:trPr>
        <w:tc>
          <w:tcPr>
            <w:tcW w:w="1889" w:type="pct"/>
            <w:shd w:val="clear" w:color="auto" w:fill="auto"/>
            <w:noWrap/>
            <w:vAlign w:val="center"/>
            <w:hideMark/>
          </w:tcPr>
          <w:p w:rsidR="00A271D0" w:rsidRPr="00B126FB" w:rsidRDefault="00385EB3" w:rsidP="00706374">
            <w:pPr>
              <w:pStyle w:val="NoSpacing"/>
            </w:pPr>
            <w:r>
              <w:t>Web Developers (15-1134)</w:t>
            </w:r>
          </w:p>
        </w:tc>
        <w:tc>
          <w:tcPr>
            <w:tcW w:w="778" w:type="pct"/>
            <w:shd w:val="clear" w:color="auto" w:fill="auto"/>
            <w:noWrap/>
            <w:vAlign w:val="center"/>
          </w:tcPr>
          <w:p w:rsidR="00A271D0" w:rsidRPr="00B126FB" w:rsidRDefault="00385EB3" w:rsidP="00706374">
            <w:pPr>
              <w:pStyle w:val="NoSpacing"/>
              <w:jc w:val="center"/>
            </w:pPr>
            <w:r>
              <w:t>$14.43</w:t>
            </w:r>
          </w:p>
        </w:tc>
        <w:tc>
          <w:tcPr>
            <w:tcW w:w="778" w:type="pct"/>
            <w:shd w:val="clear" w:color="auto" w:fill="auto"/>
            <w:noWrap/>
            <w:vAlign w:val="center"/>
          </w:tcPr>
          <w:p w:rsidR="00A271D0" w:rsidRPr="00B126FB" w:rsidRDefault="00385EB3" w:rsidP="00706374">
            <w:pPr>
              <w:pStyle w:val="NoSpacing"/>
              <w:jc w:val="center"/>
            </w:pPr>
            <w:r>
              <w:t>$24.66</w:t>
            </w:r>
          </w:p>
        </w:tc>
        <w:tc>
          <w:tcPr>
            <w:tcW w:w="777" w:type="pct"/>
            <w:tcBorders>
              <w:right w:val="single" w:sz="12" w:space="0" w:color="auto"/>
            </w:tcBorders>
            <w:shd w:val="clear" w:color="auto" w:fill="auto"/>
            <w:noWrap/>
            <w:vAlign w:val="center"/>
          </w:tcPr>
          <w:p w:rsidR="00A271D0" w:rsidRPr="00B126FB" w:rsidRDefault="00385EB3" w:rsidP="00706374">
            <w:pPr>
              <w:pStyle w:val="NoSpacing"/>
              <w:jc w:val="center"/>
            </w:pPr>
            <w:r>
              <w:t>$43.41</w:t>
            </w:r>
          </w:p>
        </w:tc>
        <w:tc>
          <w:tcPr>
            <w:tcW w:w="778" w:type="pct"/>
            <w:tcBorders>
              <w:left w:val="single" w:sz="12" w:space="0" w:color="auto"/>
            </w:tcBorders>
            <w:shd w:val="clear" w:color="auto" w:fill="auto"/>
            <w:noWrap/>
            <w:vAlign w:val="center"/>
          </w:tcPr>
          <w:p w:rsidR="00A271D0" w:rsidRPr="00B126FB" w:rsidRDefault="00385EB3" w:rsidP="00706374">
            <w:pPr>
              <w:pStyle w:val="NoSpacing"/>
              <w:jc w:val="center"/>
            </w:pPr>
            <w:r>
              <w:t>$55,370</w:t>
            </w:r>
          </w:p>
        </w:tc>
      </w:tr>
      <w:tr w:rsidR="00A271D0" w:rsidRPr="00B126FB" w:rsidTr="00706374">
        <w:trPr>
          <w:trHeight w:val="479"/>
        </w:trPr>
        <w:tc>
          <w:tcPr>
            <w:tcW w:w="1889" w:type="pct"/>
            <w:shd w:val="clear" w:color="auto" w:fill="BFBFBF" w:themeFill="background1" w:themeFillShade="BF"/>
            <w:noWrap/>
            <w:vAlign w:val="center"/>
            <w:hideMark/>
          </w:tcPr>
          <w:p w:rsidR="00A271D0" w:rsidRPr="00B126FB" w:rsidRDefault="00633578" w:rsidP="00706374">
            <w:pPr>
              <w:pStyle w:val="NoSpacing"/>
              <w:rPr>
                <w:b/>
              </w:rPr>
            </w:pPr>
            <w:r>
              <w:rPr>
                <w:b/>
              </w:rPr>
              <w:t>Average Wages</w:t>
            </w:r>
          </w:p>
        </w:tc>
        <w:tc>
          <w:tcPr>
            <w:tcW w:w="778" w:type="pct"/>
            <w:shd w:val="clear" w:color="auto" w:fill="BFBFBF" w:themeFill="background1" w:themeFillShade="BF"/>
            <w:noWrap/>
            <w:vAlign w:val="center"/>
          </w:tcPr>
          <w:p w:rsidR="00A271D0" w:rsidRPr="00B126FB" w:rsidRDefault="00385EB3" w:rsidP="00706374">
            <w:pPr>
              <w:pStyle w:val="NoSpacing"/>
              <w:jc w:val="center"/>
              <w:rPr>
                <w:b/>
              </w:rPr>
            </w:pPr>
            <w:r>
              <w:rPr>
                <w:b/>
              </w:rPr>
              <w:t>$26.73</w:t>
            </w:r>
          </w:p>
        </w:tc>
        <w:tc>
          <w:tcPr>
            <w:tcW w:w="778" w:type="pct"/>
            <w:shd w:val="clear" w:color="auto" w:fill="BFBFBF" w:themeFill="background1" w:themeFillShade="BF"/>
            <w:noWrap/>
            <w:vAlign w:val="center"/>
          </w:tcPr>
          <w:p w:rsidR="00A271D0" w:rsidRPr="00B126FB" w:rsidRDefault="00385EB3" w:rsidP="00706374">
            <w:pPr>
              <w:pStyle w:val="NoSpacing"/>
              <w:jc w:val="center"/>
              <w:rPr>
                <w:b/>
              </w:rPr>
            </w:pPr>
            <w:r>
              <w:rPr>
                <w:b/>
              </w:rPr>
              <w:t>$40.08</w:t>
            </w:r>
          </w:p>
        </w:tc>
        <w:tc>
          <w:tcPr>
            <w:tcW w:w="777" w:type="pct"/>
            <w:tcBorders>
              <w:right w:val="single" w:sz="12" w:space="0" w:color="auto"/>
            </w:tcBorders>
            <w:shd w:val="clear" w:color="auto" w:fill="BFBFBF" w:themeFill="background1" w:themeFillShade="BF"/>
            <w:noWrap/>
            <w:vAlign w:val="center"/>
          </w:tcPr>
          <w:p w:rsidR="00A271D0" w:rsidRPr="00B126FB" w:rsidRDefault="00385EB3" w:rsidP="00706374">
            <w:pPr>
              <w:pStyle w:val="NoSpacing"/>
              <w:jc w:val="center"/>
              <w:rPr>
                <w:b/>
              </w:rPr>
            </w:pPr>
            <w:r>
              <w:rPr>
                <w:b/>
              </w:rPr>
              <w:t>$58.77</w:t>
            </w:r>
          </w:p>
        </w:tc>
        <w:tc>
          <w:tcPr>
            <w:tcW w:w="778" w:type="pct"/>
            <w:tcBorders>
              <w:left w:val="single" w:sz="12" w:space="0" w:color="auto"/>
            </w:tcBorders>
            <w:shd w:val="clear" w:color="auto" w:fill="BFBFBF" w:themeFill="background1" w:themeFillShade="BF"/>
            <w:noWrap/>
            <w:vAlign w:val="center"/>
          </w:tcPr>
          <w:p w:rsidR="00A271D0" w:rsidRPr="00B126FB" w:rsidRDefault="00385EB3" w:rsidP="00706374">
            <w:pPr>
              <w:pStyle w:val="NoSpacing"/>
              <w:jc w:val="center"/>
              <w:rPr>
                <w:b/>
              </w:rPr>
            </w:pPr>
            <w:r>
              <w:rPr>
                <w:b/>
              </w:rPr>
              <w:t>$85,779</w:t>
            </w:r>
          </w:p>
        </w:tc>
      </w:tr>
    </w:tbl>
    <w:p w:rsidR="00DB57AF" w:rsidRPr="006F33A1" w:rsidRDefault="00493C5B" w:rsidP="00706374">
      <w:pPr>
        <w:spacing w:after="0" w:line="240" w:lineRule="auto"/>
        <w:rPr>
          <w:sz w:val="20"/>
        </w:rPr>
      </w:pPr>
      <w:r w:rsidRPr="006F33A1">
        <w:rPr>
          <w:sz w:val="20"/>
        </w:rPr>
        <w:t>Source: EMSI</w:t>
      </w:r>
      <w:r w:rsidR="00385EB3">
        <w:rPr>
          <w:sz w:val="20"/>
        </w:rPr>
        <w:t xml:space="preserve"> Class of Worker 2017.1</w:t>
      </w:r>
      <w:r w:rsidR="006F33A1">
        <w:rPr>
          <w:sz w:val="20"/>
        </w:rPr>
        <w:t xml:space="preserve"> </w:t>
      </w:r>
      <w:r w:rsidR="00BA7F57" w:rsidRPr="006F33A1">
        <w:rPr>
          <w:sz w:val="20"/>
        </w:rPr>
        <w:t>Entry Hourly is 10th percentile wage, median is 50th percentile wage, experienced is 90th percentile wage.</w:t>
      </w:r>
    </w:p>
    <w:p w:rsidR="00385EB3" w:rsidRDefault="00385EB3" w:rsidP="00057ED5">
      <w:pPr>
        <w:pStyle w:val="Heading2"/>
        <w:spacing w:before="0" w:line="360" w:lineRule="auto"/>
        <w:jc w:val="both"/>
        <w:rPr>
          <w:rFonts w:eastAsia="Times New Roman"/>
        </w:rPr>
      </w:pPr>
    </w:p>
    <w:p w:rsidR="0061481C" w:rsidRDefault="0061481C">
      <w:pPr>
        <w:rPr>
          <w:rFonts w:asciiTheme="majorHAnsi" w:eastAsia="Times New Roman" w:hAnsiTheme="majorHAnsi" w:cstheme="majorBidi"/>
          <w:b/>
          <w:bCs/>
          <w:color w:val="6076B4" w:themeColor="accent1"/>
          <w:sz w:val="26"/>
          <w:szCs w:val="26"/>
        </w:rPr>
      </w:pPr>
      <w:r>
        <w:rPr>
          <w:rFonts w:eastAsia="Times New Roman"/>
        </w:rPr>
        <w:br w:type="page"/>
      </w:r>
    </w:p>
    <w:p w:rsidR="001853CE" w:rsidRPr="00391F5C" w:rsidRDefault="005775E0" w:rsidP="00057ED5">
      <w:pPr>
        <w:pStyle w:val="Heading2"/>
        <w:spacing w:before="0" w:line="360" w:lineRule="auto"/>
        <w:jc w:val="both"/>
        <w:rPr>
          <w:rFonts w:eastAsia="Times New Roman"/>
        </w:rPr>
      </w:pPr>
      <w:r w:rsidRPr="00391F5C">
        <w:rPr>
          <w:rFonts w:eastAsia="Times New Roman"/>
        </w:rPr>
        <w:lastRenderedPageBreak/>
        <w:t xml:space="preserve">Job </w:t>
      </w:r>
      <w:r w:rsidR="008B53A5">
        <w:rPr>
          <w:rFonts w:eastAsia="Times New Roman"/>
        </w:rPr>
        <w:t>Advertisements</w:t>
      </w:r>
      <w:r w:rsidRPr="00391F5C">
        <w:rPr>
          <w:rFonts w:eastAsia="Times New Roman"/>
        </w:rPr>
        <w:t xml:space="preserve">, Top Employers, </w:t>
      </w:r>
      <w:r w:rsidR="00FC1E7C" w:rsidRPr="00391F5C">
        <w:rPr>
          <w:rFonts w:eastAsia="Times New Roman"/>
        </w:rPr>
        <w:t>Skills</w:t>
      </w:r>
      <w:r w:rsidRPr="00391F5C">
        <w:rPr>
          <w:rFonts w:eastAsia="Times New Roman"/>
        </w:rPr>
        <w:t>, and Education</w:t>
      </w:r>
    </w:p>
    <w:p w:rsidR="00FC1E7C" w:rsidRPr="00391F5C" w:rsidRDefault="007D4981" w:rsidP="00057ED5">
      <w:pPr>
        <w:spacing w:after="0" w:line="360" w:lineRule="auto"/>
      </w:pPr>
      <w:r>
        <w:t>Across the full</w:t>
      </w:r>
      <w:r w:rsidR="006E6E4B">
        <w:t>-</w:t>
      </w:r>
      <w:r>
        <w:t>year</w:t>
      </w:r>
      <w:r w:rsidR="00385EB3">
        <w:t xml:space="preserve"> 2016, there were a total of 2,071</w:t>
      </w:r>
      <w:r w:rsidR="00FC1E7C" w:rsidRPr="00391F5C">
        <w:t xml:space="preserve"> job </w:t>
      </w:r>
      <w:r w:rsidR="008B53A5">
        <w:t>advertisements (ads)</w:t>
      </w:r>
      <w:r w:rsidR="00FC1E7C" w:rsidRPr="00391F5C">
        <w:t xml:space="preserve"> for </w:t>
      </w:r>
      <w:r w:rsidR="00495AD9">
        <w:t xml:space="preserve">the </w:t>
      </w:r>
      <w:r w:rsidR="00385EB3">
        <w:t>computer programming</w:t>
      </w:r>
      <w:r w:rsidR="006F33A1">
        <w:t xml:space="preserve"> </w:t>
      </w:r>
      <w:r w:rsidR="00495AD9">
        <w:t>occupation</w:t>
      </w:r>
      <w:r w:rsidR="00495AD9" w:rsidRPr="00391F5C">
        <w:t xml:space="preserve"> </w:t>
      </w:r>
      <w:r w:rsidR="00895D09">
        <w:t xml:space="preserve">group </w:t>
      </w:r>
      <w:r w:rsidR="00FC1E7C" w:rsidRPr="00391F5C">
        <w:t>in the Riverside-San Bernardin</w:t>
      </w:r>
      <w:r w:rsidR="0069150C">
        <w:t>o-Ontario MSA. Nearly 60</w:t>
      </w:r>
      <w:r w:rsidR="00FC1E7C" w:rsidRPr="00391F5C">
        <w:t xml:space="preserve">% of these listings </w:t>
      </w:r>
      <w:r w:rsidR="006F33A1">
        <w:t xml:space="preserve">in the region </w:t>
      </w:r>
      <w:r w:rsidR="00FC1E7C" w:rsidRPr="00391F5C">
        <w:t xml:space="preserve">were for </w:t>
      </w:r>
      <w:r w:rsidR="0069150C">
        <w:t>software developers, applications (1,226</w:t>
      </w:r>
      <w:r w:rsidR="00FC1E7C" w:rsidRPr="00391F5C">
        <w:t xml:space="preserve"> postings).</w:t>
      </w:r>
    </w:p>
    <w:p w:rsidR="0061481C" w:rsidRDefault="0061481C" w:rsidP="00057ED5">
      <w:pPr>
        <w:pStyle w:val="Quote"/>
        <w:spacing w:after="0" w:line="360" w:lineRule="auto"/>
      </w:pPr>
    </w:p>
    <w:p w:rsidR="001853CE" w:rsidRPr="00391F5C" w:rsidRDefault="00FC1E7C" w:rsidP="00057ED5">
      <w:pPr>
        <w:pStyle w:val="Quote"/>
        <w:spacing w:after="0" w:line="360" w:lineRule="auto"/>
      </w:pPr>
      <w:r w:rsidRPr="00391F5C">
        <w:t xml:space="preserve">Exhibit 3: Job </w:t>
      </w:r>
      <w:r w:rsidR="00895D09">
        <w:t>ads</w:t>
      </w:r>
      <w:r w:rsidRPr="00391F5C">
        <w:t xml:space="preserve"> </w:t>
      </w:r>
      <w:r w:rsidR="0069150C">
        <w:t>for</w:t>
      </w:r>
      <w:r w:rsidR="00381FD1">
        <w:t xml:space="preserve"> the</w:t>
      </w:r>
      <w:r w:rsidR="0069150C">
        <w:t xml:space="preserve"> computer programmer</w:t>
      </w:r>
      <w:r w:rsidR="00895D09">
        <w:t xml:space="preserve"> </w:t>
      </w:r>
      <w:r w:rsidR="00381FD1">
        <w:t xml:space="preserve">occupation </w:t>
      </w:r>
      <w:r w:rsidR="00895D09">
        <w:t>group</w:t>
      </w:r>
      <w:r w:rsidR="006F33A1">
        <w:t xml:space="preserve"> </w:t>
      </w:r>
      <w:r w:rsidR="003065FB">
        <w:t>(n=2,</w:t>
      </w:r>
      <w:r w:rsidRPr="00391F5C">
        <w:t>0</w:t>
      </w:r>
      <w:r w:rsidR="003065FB">
        <w:t>71</w:t>
      </w:r>
      <w:r w:rsidRPr="00391F5C">
        <w:t>)</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678"/>
        <w:gridCol w:w="2898"/>
      </w:tblGrid>
      <w:tr w:rsidR="001853CE" w:rsidRPr="00391F5C" w:rsidTr="006F33A1">
        <w:trPr>
          <w:trHeight w:val="303"/>
        </w:trPr>
        <w:tc>
          <w:tcPr>
            <w:tcW w:w="3487" w:type="pct"/>
            <w:shd w:val="clear" w:color="auto" w:fill="BFBFBF" w:themeFill="background1" w:themeFillShade="BF"/>
            <w:noWrap/>
            <w:vAlign w:val="center"/>
            <w:hideMark/>
          </w:tcPr>
          <w:p w:rsidR="001853CE" w:rsidRPr="00391F5C" w:rsidRDefault="001853CE" w:rsidP="00057ED5">
            <w:pPr>
              <w:spacing w:after="0" w:line="360" w:lineRule="auto"/>
              <w:rPr>
                <w:rFonts w:eastAsia="Times New Roman" w:cs="Times New Roman"/>
                <w:b/>
              </w:rPr>
            </w:pPr>
            <w:r w:rsidRPr="00391F5C">
              <w:rPr>
                <w:rFonts w:eastAsia="Times New Roman" w:cs="Times New Roman"/>
                <w:b/>
              </w:rPr>
              <w:t>Occupation</w:t>
            </w:r>
            <w:r w:rsidR="00FC1E7C" w:rsidRPr="00391F5C">
              <w:rPr>
                <w:rFonts w:eastAsia="Times New Roman" w:cs="Times New Roman"/>
                <w:b/>
              </w:rPr>
              <w:t>s</w:t>
            </w:r>
          </w:p>
        </w:tc>
        <w:tc>
          <w:tcPr>
            <w:tcW w:w="1513" w:type="pct"/>
            <w:shd w:val="clear" w:color="auto" w:fill="BFBFBF" w:themeFill="background1" w:themeFillShade="BF"/>
            <w:noWrap/>
            <w:vAlign w:val="center"/>
            <w:hideMark/>
          </w:tcPr>
          <w:p w:rsidR="00FC1E7C" w:rsidRPr="00391F5C" w:rsidRDefault="001853CE" w:rsidP="00057ED5">
            <w:pPr>
              <w:spacing w:after="0" w:line="360" w:lineRule="auto"/>
              <w:jc w:val="center"/>
              <w:rPr>
                <w:rFonts w:eastAsia="Times New Roman" w:cs="Times New Roman"/>
                <w:b/>
              </w:rPr>
            </w:pPr>
            <w:r w:rsidRPr="00391F5C">
              <w:rPr>
                <w:rFonts w:eastAsia="Times New Roman" w:cs="Times New Roman"/>
                <w:b/>
              </w:rPr>
              <w:t xml:space="preserve">Job </w:t>
            </w:r>
            <w:r w:rsidR="00895D09">
              <w:rPr>
                <w:rFonts w:eastAsia="Times New Roman" w:cs="Times New Roman"/>
                <w:b/>
              </w:rPr>
              <w:t>Ads</w:t>
            </w:r>
            <w:r w:rsidR="00FC1E7C" w:rsidRPr="00391F5C">
              <w:rPr>
                <w:rFonts w:eastAsia="Times New Roman" w:cs="Times New Roman"/>
                <w:b/>
              </w:rPr>
              <w:t xml:space="preserve">, </w:t>
            </w:r>
          </w:p>
          <w:p w:rsidR="001853CE" w:rsidRPr="00391F5C" w:rsidRDefault="00FC1E7C" w:rsidP="007F0FC6">
            <w:pPr>
              <w:spacing w:after="0" w:line="360" w:lineRule="auto"/>
              <w:jc w:val="center"/>
              <w:rPr>
                <w:rFonts w:eastAsia="Times New Roman" w:cs="Times New Roman"/>
                <w:b/>
              </w:rPr>
            </w:pPr>
            <w:r w:rsidRPr="00391F5C">
              <w:rPr>
                <w:rFonts w:eastAsia="Times New Roman" w:cs="Times New Roman"/>
                <w:b/>
              </w:rPr>
              <w:t>Full</w:t>
            </w:r>
            <w:r w:rsidR="006E6E4B">
              <w:rPr>
                <w:rFonts w:eastAsia="Times New Roman" w:cs="Times New Roman"/>
                <w:b/>
              </w:rPr>
              <w:t>-</w:t>
            </w:r>
            <w:r w:rsidRPr="00391F5C">
              <w:rPr>
                <w:rFonts w:eastAsia="Times New Roman" w:cs="Times New Roman"/>
                <w:b/>
              </w:rPr>
              <w:t>Year 201</w:t>
            </w:r>
            <w:r w:rsidR="007F0FC6">
              <w:rPr>
                <w:rFonts w:eastAsia="Times New Roman" w:cs="Times New Roman"/>
                <w:b/>
              </w:rPr>
              <w:t>6</w:t>
            </w:r>
          </w:p>
        </w:tc>
      </w:tr>
      <w:tr w:rsidR="001853CE" w:rsidRPr="00391F5C" w:rsidTr="006E6E4B">
        <w:trPr>
          <w:trHeight w:val="303"/>
        </w:trPr>
        <w:tc>
          <w:tcPr>
            <w:tcW w:w="3487" w:type="pct"/>
            <w:shd w:val="clear" w:color="auto" w:fill="auto"/>
            <w:noWrap/>
            <w:vAlign w:val="center"/>
            <w:hideMark/>
          </w:tcPr>
          <w:p w:rsidR="001853CE" w:rsidRPr="007D4981" w:rsidRDefault="0069150C" w:rsidP="006E6E4B">
            <w:pPr>
              <w:spacing w:after="0" w:line="360" w:lineRule="auto"/>
              <w:rPr>
                <w:rFonts w:eastAsia="Times New Roman" w:cs="Times New Roman"/>
                <w:szCs w:val="23"/>
              </w:rPr>
            </w:pPr>
            <w:r>
              <w:rPr>
                <w:rFonts w:eastAsia="Times New Roman" w:cs="Times New Roman"/>
                <w:szCs w:val="23"/>
              </w:rPr>
              <w:t>Software Developers, Applications (15-1132)</w:t>
            </w:r>
          </w:p>
        </w:tc>
        <w:tc>
          <w:tcPr>
            <w:tcW w:w="1513" w:type="pct"/>
            <w:shd w:val="clear" w:color="auto" w:fill="auto"/>
            <w:noWrap/>
            <w:vAlign w:val="center"/>
            <w:hideMark/>
          </w:tcPr>
          <w:p w:rsidR="001853CE" w:rsidRPr="007D4981" w:rsidRDefault="0069150C" w:rsidP="006E6E4B">
            <w:pPr>
              <w:spacing w:after="0" w:line="360" w:lineRule="auto"/>
              <w:jc w:val="center"/>
              <w:rPr>
                <w:rFonts w:eastAsia="Times New Roman" w:cs="Times New Roman"/>
                <w:szCs w:val="23"/>
              </w:rPr>
            </w:pPr>
            <w:r>
              <w:rPr>
                <w:rFonts w:eastAsia="Times New Roman" w:cs="Times New Roman"/>
                <w:szCs w:val="23"/>
              </w:rPr>
              <w:t>1,226</w:t>
            </w:r>
          </w:p>
        </w:tc>
      </w:tr>
      <w:tr w:rsidR="001853CE" w:rsidRPr="00391F5C" w:rsidTr="006E6E4B">
        <w:trPr>
          <w:trHeight w:val="303"/>
        </w:trPr>
        <w:tc>
          <w:tcPr>
            <w:tcW w:w="3487" w:type="pct"/>
            <w:shd w:val="clear" w:color="auto" w:fill="auto"/>
            <w:noWrap/>
            <w:vAlign w:val="center"/>
            <w:hideMark/>
          </w:tcPr>
          <w:p w:rsidR="001853CE" w:rsidRPr="007D4981" w:rsidRDefault="0069150C" w:rsidP="006E6E4B">
            <w:pPr>
              <w:spacing w:after="0" w:line="360" w:lineRule="auto"/>
              <w:rPr>
                <w:rFonts w:eastAsia="Times New Roman" w:cs="Times New Roman"/>
                <w:szCs w:val="23"/>
              </w:rPr>
            </w:pPr>
            <w:r>
              <w:rPr>
                <w:rFonts w:eastAsia="Times New Roman" w:cs="Times New Roman"/>
                <w:szCs w:val="23"/>
              </w:rPr>
              <w:t>Web Developers (15-1134)</w:t>
            </w:r>
          </w:p>
        </w:tc>
        <w:tc>
          <w:tcPr>
            <w:tcW w:w="1513" w:type="pct"/>
            <w:shd w:val="clear" w:color="auto" w:fill="auto"/>
            <w:noWrap/>
            <w:vAlign w:val="center"/>
            <w:hideMark/>
          </w:tcPr>
          <w:p w:rsidR="001853CE" w:rsidRPr="007D4981" w:rsidRDefault="0069150C" w:rsidP="006E6E4B">
            <w:pPr>
              <w:spacing w:after="0" w:line="360" w:lineRule="auto"/>
              <w:jc w:val="center"/>
              <w:rPr>
                <w:rFonts w:eastAsia="Times New Roman" w:cs="Times New Roman"/>
                <w:szCs w:val="23"/>
              </w:rPr>
            </w:pPr>
            <w:r>
              <w:rPr>
                <w:rFonts w:eastAsia="Times New Roman" w:cs="Times New Roman"/>
                <w:szCs w:val="23"/>
              </w:rPr>
              <w:t>523</w:t>
            </w:r>
          </w:p>
        </w:tc>
      </w:tr>
      <w:tr w:rsidR="001853CE" w:rsidRPr="00391F5C" w:rsidTr="006E6E4B">
        <w:trPr>
          <w:trHeight w:val="303"/>
        </w:trPr>
        <w:tc>
          <w:tcPr>
            <w:tcW w:w="3487" w:type="pct"/>
            <w:shd w:val="clear" w:color="auto" w:fill="auto"/>
            <w:noWrap/>
            <w:vAlign w:val="center"/>
            <w:hideMark/>
          </w:tcPr>
          <w:p w:rsidR="001853CE" w:rsidRPr="007D4981" w:rsidRDefault="0069150C" w:rsidP="006E6E4B">
            <w:pPr>
              <w:spacing w:after="0" w:line="360" w:lineRule="auto"/>
              <w:rPr>
                <w:rFonts w:eastAsia="Times New Roman" w:cs="Times New Roman"/>
                <w:szCs w:val="23"/>
              </w:rPr>
            </w:pPr>
            <w:r>
              <w:rPr>
                <w:rFonts w:eastAsia="Times New Roman" w:cs="Times New Roman"/>
                <w:szCs w:val="23"/>
              </w:rPr>
              <w:t>Computer Programmers (15-1131)</w:t>
            </w:r>
          </w:p>
        </w:tc>
        <w:tc>
          <w:tcPr>
            <w:tcW w:w="1513" w:type="pct"/>
            <w:shd w:val="clear" w:color="auto" w:fill="auto"/>
            <w:noWrap/>
            <w:vAlign w:val="center"/>
            <w:hideMark/>
          </w:tcPr>
          <w:p w:rsidR="001853CE" w:rsidRPr="007D4981" w:rsidRDefault="0069150C" w:rsidP="006E6E4B">
            <w:pPr>
              <w:spacing w:after="0" w:line="360" w:lineRule="auto"/>
              <w:jc w:val="center"/>
              <w:rPr>
                <w:rFonts w:eastAsia="Times New Roman" w:cs="Times New Roman"/>
                <w:szCs w:val="23"/>
              </w:rPr>
            </w:pPr>
            <w:r>
              <w:rPr>
                <w:rFonts w:eastAsia="Times New Roman" w:cs="Times New Roman"/>
                <w:szCs w:val="23"/>
              </w:rPr>
              <w:t>306</w:t>
            </w:r>
          </w:p>
        </w:tc>
      </w:tr>
      <w:tr w:rsidR="001853CE" w:rsidRPr="00391F5C" w:rsidTr="006E6E4B">
        <w:trPr>
          <w:trHeight w:val="303"/>
        </w:trPr>
        <w:tc>
          <w:tcPr>
            <w:tcW w:w="3487" w:type="pct"/>
            <w:shd w:val="clear" w:color="auto" w:fill="auto"/>
            <w:noWrap/>
            <w:vAlign w:val="center"/>
            <w:hideMark/>
          </w:tcPr>
          <w:p w:rsidR="001853CE" w:rsidRPr="007D4981" w:rsidRDefault="0069150C" w:rsidP="006E6E4B">
            <w:pPr>
              <w:spacing w:after="0" w:line="360" w:lineRule="auto"/>
              <w:rPr>
                <w:rFonts w:eastAsia="Times New Roman" w:cs="Times New Roman"/>
                <w:szCs w:val="23"/>
              </w:rPr>
            </w:pPr>
            <w:r>
              <w:rPr>
                <w:rFonts w:eastAsia="Times New Roman" w:cs="Times New Roman"/>
                <w:szCs w:val="23"/>
              </w:rPr>
              <w:t>Software Developers, Systems Software (15-1133)</w:t>
            </w:r>
          </w:p>
        </w:tc>
        <w:tc>
          <w:tcPr>
            <w:tcW w:w="1513" w:type="pct"/>
            <w:shd w:val="clear" w:color="auto" w:fill="auto"/>
            <w:noWrap/>
            <w:vAlign w:val="center"/>
            <w:hideMark/>
          </w:tcPr>
          <w:p w:rsidR="001853CE" w:rsidRPr="007D4981" w:rsidRDefault="0069150C" w:rsidP="006E6E4B">
            <w:pPr>
              <w:spacing w:after="0" w:line="360" w:lineRule="auto"/>
              <w:jc w:val="center"/>
              <w:rPr>
                <w:rFonts w:eastAsia="Times New Roman" w:cs="Times New Roman"/>
                <w:szCs w:val="23"/>
              </w:rPr>
            </w:pPr>
            <w:r>
              <w:rPr>
                <w:rFonts w:eastAsia="Times New Roman" w:cs="Times New Roman"/>
                <w:szCs w:val="23"/>
              </w:rPr>
              <w:t>16</w:t>
            </w:r>
          </w:p>
        </w:tc>
      </w:tr>
    </w:tbl>
    <w:p w:rsidR="001853CE" w:rsidRPr="006F33A1" w:rsidRDefault="005775E0" w:rsidP="00057ED5">
      <w:pPr>
        <w:spacing w:after="0" w:line="360" w:lineRule="auto"/>
        <w:rPr>
          <w:sz w:val="20"/>
        </w:rPr>
      </w:pPr>
      <w:r w:rsidRPr="006F33A1">
        <w:rPr>
          <w:sz w:val="20"/>
        </w:rPr>
        <w:t>Source: Burning Glass</w:t>
      </w:r>
    </w:p>
    <w:p w:rsidR="006F33A1" w:rsidRDefault="006F33A1" w:rsidP="00057ED5">
      <w:pPr>
        <w:spacing w:after="0" w:line="360" w:lineRule="auto"/>
      </w:pPr>
    </w:p>
    <w:p w:rsidR="0078443A" w:rsidRPr="00391F5C" w:rsidRDefault="0078443A" w:rsidP="00057ED5">
      <w:pPr>
        <w:spacing w:after="0" w:line="360" w:lineRule="auto"/>
      </w:pPr>
      <w:r w:rsidRPr="00391F5C">
        <w:t xml:space="preserve">Exhibit 4 lists the top employers hiring </w:t>
      </w:r>
      <w:r w:rsidR="00495AD9">
        <w:t xml:space="preserve">employees for the </w:t>
      </w:r>
      <w:r w:rsidR="00BB26D4">
        <w:t>computer programming</w:t>
      </w:r>
      <w:r w:rsidR="00895D09">
        <w:t xml:space="preserve"> </w:t>
      </w:r>
      <w:r w:rsidR="00495AD9">
        <w:t>occupations</w:t>
      </w:r>
      <w:r w:rsidRPr="00391F5C">
        <w:t>. Top employers include</w:t>
      </w:r>
      <w:r w:rsidR="00895D09">
        <w:t>d</w:t>
      </w:r>
      <w:r w:rsidRPr="00391F5C">
        <w:t xml:space="preserve">: </w:t>
      </w:r>
      <w:r w:rsidR="00BB26D4">
        <w:t>UCLA, Esri, Fiverr, Petco, and University of California</w:t>
      </w:r>
      <w:r w:rsidR="003065FB">
        <w:t>. Only 58</w:t>
      </w:r>
      <w:r w:rsidRPr="00391F5C">
        <w:t>% of job postings included the name of the employer.</w:t>
      </w:r>
      <w:r w:rsidR="00660905">
        <w:t xml:space="preserve"> The top ten worksite cities </w:t>
      </w:r>
      <w:r w:rsidR="006E6E4B">
        <w:t xml:space="preserve">in the two-county region </w:t>
      </w:r>
      <w:r w:rsidR="003065FB">
        <w:t xml:space="preserve">for </w:t>
      </w:r>
      <w:r w:rsidR="00495AD9">
        <w:t xml:space="preserve">the </w:t>
      </w:r>
      <w:r w:rsidR="003065FB">
        <w:t xml:space="preserve">computer programming </w:t>
      </w:r>
      <w:r w:rsidR="00495AD9">
        <w:t xml:space="preserve">occupation </w:t>
      </w:r>
      <w:r w:rsidR="00381FD1">
        <w:t xml:space="preserve">group </w:t>
      </w:r>
      <w:r w:rsidR="00660905">
        <w:t xml:space="preserve">were </w:t>
      </w:r>
      <w:r w:rsidR="003065FB">
        <w:t xml:space="preserve">Ontario, Redlands, Riverside, Temecula, </w:t>
      </w:r>
      <w:r w:rsidR="00895D09">
        <w:t xml:space="preserve">and </w:t>
      </w:r>
      <w:r w:rsidR="003065FB">
        <w:t>San Bernardino</w:t>
      </w:r>
      <w:r w:rsidR="00895D09">
        <w:t>.</w:t>
      </w:r>
      <w:r w:rsidR="00660905">
        <w:t xml:space="preserve"> </w:t>
      </w:r>
    </w:p>
    <w:p w:rsidR="006F33A1" w:rsidRDefault="006F33A1" w:rsidP="00057ED5">
      <w:pPr>
        <w:spacing w:after="0" w:line="360" w:lineRule="auto"/>
        <w:rPr>
          <w:i/>
        </w:rPr>
      </w:pPr>
    </w:p>
    <w:p w:rsidR="00FC1E7C" w:rsidRPr="00391F5C" w:rsidRDefault="00FC1E7C" w:rsidP="00057ED5">
      <w:pPr>
        <w:spacing w:after="0" w:line="360" w:lineRule="auto"/>
        <w:rPr>
          <w:i/>
        </w:rPr>
      </w:pPr>
      <w:r w:rsidRPr="00391F5C">
        <w:rPr>
          <w:i/>
        </w:rPr>
        <w:t xml:space="preserve">Exhibit 4: </w:t>
      </w:r>
      <w:r w:rsidR="00895D09">
        <w:rPr>
          <w:i/>
        </w:rPr>
        <w:t>2016 t</w:t>
      </w:r>
      <w:r w:rsidRPr="00391F5C">
        <w:rPr>
          <w:i/>
        </w:rPr>
        <w:t xml:space="preserve">op </w:t>
      </w:r>
      <w:r w:rsidR="00895D09">
        <w:rPr>
          <w:i/>
        </w:rPr>
        <w:t>e</w:t>
      </w:r>
      <w:r w:rsidRPr="00391F5C">
        <w:rPr>
          <w:i/>
        </w:rPr>
        <w:t>mployers</w:t>
      </w:r>
      <w:r w:rsidR="006E6E4B">
        <w:rPr>
          <w:i/>
        </w:rPr>
        <w:t xml:space="preserve"> for </w:t>
      </w:r>
      <w:r w:rsidR="00381FD1">
        <w:rPr>
          <w:i/>
        </w:rPr>
        <w:t xml:space="preserve">the </w:t>
      </w:r>
      <w:r w:rsidR="00BB26D4">
        <w:rPr>
          <w:i/>
          <w:iCs/>
          <w:color w:val="000000" w:themeColor="text1"/>
        </w:rPr>
        <w:t>computer programming</w:t>
      </w:r>
      <w:r w:rsidR="00E52213">
        <w:rPr>
          <w:i/>
          <w:iCs/>
          <w:color w:val="000000" w:themeColor="text1"/>
        </w:rPr>
        <w:t xml:space="preserve"> </w:t>
      </w:r>
      <w:r w:rsidR="00381FD1">
        <w:rPr>
          <w:i/>
          <w:iCs/>
          <w:color w:val="000000" w:themeColor="text1"/>
        </w:rPr>
        <w:t xml:space="preserve">occupation </w:t>
      </w:r>
      <w:r w:rsidR="00895D09">
        <w:rPr>
          <w:i/>
          <w:iCs/>
          <w:color w:val="000000" w:themeColor="text1"/>
        </w:rPr>
        <w:t xml:space="preserve">group </w:t>
      </w:r>
      <w:r w:rsidRPr="00391F5C">
        <w:rPr>
          <w:i/>
        </w:rPr>
        <w:t>in the Riverside-San Bernardino-Ontario MSA</w:t>
      </w:r>
      <w:r w:rsidR="003065FB">
        <w:rPr>
          <w:i/>
        </w:rPr>
        <w:t xml:space="preserve"> (n=1,203</w:t>
      </w:r>
      <w:r w:rsidR="00066A98" w:rsidRPr="00391F5C">
        <w:rPr>
          <w:i/>
        </w:rPr>
        <w:t>)</w:t>
      </w:r>
      <w:r w:rsidR="00BB26D4" w:rsidRPr="00BB26D4">
        <w:rPr>
          <w:noProof/>
        </w:rPr>
        <w:t xml:space="preserve"> </w:t>
      </w:r>
      <w:r w:rsidR="00BB26D4">
        <w:rPr>
          <w:noProof/>
        </w:rPr>
        <w:drawing>
          <wp:inline distT="0" distB="0" distL="0" distR="0" wp14:anchorId="3D00C429" wp14:editId="38911C85">
            <wp:extent cx="5943600" cy="24574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481C" w:rsidRDefault="005775E0" w:rsidP="0061481C">
      <w:pPr>
        <w:spacing w:after="0" w:line="360" w:lineRule="auto"/>
      </w:pPr>
      <w:r w:rsidRPr="006F33A1">
        <w:rPr>
          <w:sz w:val="20"/>
        </w:rPr>
        <w:lastRenderedPageBreak/>
        <w:t>Source: Burning Glass</w:t>
      </w:r>
      <w:r w:rsidR="0061481C">
        <w:br w:type="page"/>
      </w:r>
    </w:p>
    <w:p w:rsidR="00C05E08" w:rsidRDefault="0078443A" w:rsidP="00057ED5">
      <w:pPr>
        <w:spacing w:after="0" w:line="360" w:lineRule="auto"/>
      </w:pPr>
      <w:r w:rsidRPr="00391F5C">
        <w:lastRenderedPageBreak/>
        <w:t xml:space="preserve">Exhibit 5 lists the top 10 skills mentioned in job </w:t>
      </w:r>
      <w:r w:rsidR="00895D09">
        <w:t>ads</w:t>
      </w:r>
      <w:r w:rsidRPr="00391F5C">
        <w:t xml:space="preserve"> for </w:t>
      </w:r>
      <w:r w:rsidR="003065FB">
        <w:t>computer programming</w:t>
      </w:r>
      <w:r w:rsidRPr="00391F5C">
        <w:t>. Top skills include</w:t>
      </w:r>
      <w:r w:rsidR="00895D09">
        <w:t>d</w:t>
      </w:r>
      <w:r w:rsidRPr="00391F5C">
        <w:t xml:space="preserve">: </w:t>
      </w:r>
      <w:r w:rsidR="003065FB">
        <w:t>SQL, JavaScript, and Software Development</w:t>
      </w:r>
      <w:r w:rsidRPr="00391F5C">
        <w:t xml:space="preserve">. </w:t>
      </w:r>
    </w:p>
    <w:p w:rsidR="006E6E4B" w:rsidRDefault="006E6E4B" w:rsidP="00057ED5">
      <w:pPr>
        <w:spacing w:after="0" w:line="360" w:lineRule="auto"/>
        <w:rPr>
          <w:i/>
        </w:rPr>
      </w:pPr>
    </w:p>
    <w:p w:rsidR="005775E0" w:rsidRPr="00391F5C" w:rsidRDefault="005775E0" w:rsidP="00057ED5">
      <w:pPr>
        <w:spacing w:after="0" w:line="360" w:lineRule="auto"/>
      </w:pPr>
      <w:r w:rsidRPr="00391F5C">
        <w:rPr>
          <w:i/>
        </w:rPr>
        <w:t xml:space="preserve">Exhibit 5: </w:t>
      </w:r>
      <w:r w:rsidR="00895D09">
        <w:rPr>
          <w:i/>
        </w:rPr>
        <w:t>2016 t</w:t>
      </w:r>
      <w:r w:rsidRPr="00391F5C">
        <w:rPr>
          <w:i/>
        </w:rPr>
        <w:t xml:space="preserve">op </w:t>
      </w:r>
      <w:r w:rsidR="00895D09">
        <w:rPr>
          <w:i/>
        </w:rPr>
        <w:t>s</w:t>
      </w:r>
      <w:r w:rsidRPr="00391F5C">
        <w:rPr>
          <w:i/>
        </w:rPr>
        <w:t xml:space="preserve">kills for </w:t>
      </w:r>
      <w:r w:rsidR="00495AD9">
        <w:rPr>
          <w:i/>
        </w:rPr>
        <w:t xml:space="preserve">the </w:t>
      </w:r>
      <w:r w:rsidR="003065FB">
        <w:rPr>
          <w:i/>
          <w:iCs/>
          <w:color w:val="000000" w:themeColor="text1"/>
        </w:rPr>
        <w:t>computer programming</w:t>
      </w:r>
      <w:r w:rsidR="00BB344F">
        <w:rPr>
          <w:i/>
          <w:iCs/>
          <w:color w:val="000000" w:themeColor="text1"/>
        </w:rPr>
        <w:t xml:space="preserve"> </w:t>
      </w:r>
      <w:r w:rsidR="00381FD1">
        <w:rPr>
          <w:i/>
          <w:iCs/>
          <w:color w:val="000000" w:themeColor="text1"/>
        </w:rPr>
        <w:t xml:space="preserve">occupation </w:t>
      </w:r>
      <w:r w:rsidR="00895D09">
        <w:rPr>
          <w:i/>
          <w:iCs/>
          <w:color w:val="000000" w:themeColor="text1"/>
        </w:rPr>
        <w:t xml:space="preserve">group </w:t>
      </w:r>
      <w:r w:rsidR="006E6E4B">
        <w:rPr>
          <w:i/>
        </w:rPr>
        <w:t>in the Riverside-San Bernardino-Ontario MSA</w:t>
      </w:r>
      <w:r w:rsidR="00066A98" w:rsidRPr="00391F5C">
        <w:rPr>
          <w:i/>
        </w:rPr>
        <w:t xml:space="preserve"> (n=</w:t>
      </w:r>
      <w:r w:rsidR="003065FB">
        <w:rPr>
          <w:i/>
        </w:rPr>
        <w:t>1,835</w:t>
      </w:r>
      <w:r w:rsidR="00323CDB">
        <w:rPr>
          <w:i/>
        </w:rPr>
        <w:t>)</w:t>
      </w:r>
      <w:r w:rsidR="003065FB" w:rsidRPr="003065FB">
        <w:rPr>
          <w:noProof/>
        </w:rPr>
        <w:t xml:space="preserve"> </w:t>
      </w:r>
      <w:r w:rsidR="003065FB">
        <w:rPr>
          <w:noProof/>
        </w:rPr>
        <w:drawing>
          <wp:inline distT="0" distB="0" distL="0" distR="0" wp14:anchorId="5B72B752" wp14:editId="016973EB">
            <wp:extent cx="5943600" cy="29432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E6E4B">
        <w:rPr>
          <w:sz w:val="20"/>
        </w:rPr>
        <w:t>Source: Burning Glass</w:t>
      </w:r>
    </w:p>
    <w:p w:rsidR="003A3069" w:rsidRDefault="003A3069" w:rsidP="00057ED5">
      <w:pPr>
        <w:shd w:val="clear" w:color="auto" w:fill="FFFFFF"/>
        <w:spacing w:after="0" w:line="360" w:lineRule="auto"/>
        <w:textAlignment w:val="baseline"/>
        <w:rPr>
          <w:iCs/>
          <w:color w:val="000000" w:themeColor="text1"/>
        </w:rPr>
      </w:pPr>
    </w:p>
    <w:p w:rsidR="005775E0" w:rsidRPr="00AD200F" w:rsidRDefault="00724CE9" w:rsidP="00057ED5">
      <w:pPr>
        <w:shd w:val="clear" w:color="auto" w:fill="FFFFFF"/>
        <w:spacing w:after="0" w:line="360" w:lineRule="auto"/>
        <w:textAlignment w:val="baseline"/>
        <w:rPr>
          <w:iCs/>
          <w:color w:val="000000" w:themeColor="text1"/>
        </w:rPr>
      </w:pPr>
      <w:r>
        <w:rPr>
          <w:iCs/>
          <w:color w:val="000000" w:themeColor="text1"/>
        </w:rPr>
        <w:t xml:space="preserve">Exhibit </w:t>
      </w:r>
      <w:r w:rsidR="00AD200F" w:rsidRPr="00AD200F">
        <w:rPr>
          <w:iCs/>
          <w:color w:val="000000" w:themeColor="text1"/>
        </w:rPr>
        <w:t xml:space="preserve">6 displays </w:t>
      </w:r>
      <w:r w:rsidR="00AD200F">
        <w:rPr>
          <w:iCs/>
          <w:color w:val="000000" w:themeColor="text1"/>
        </w:rPr>
        <w:t xml:space="preserve">the education requirement to employers requested in online job </w:t>
      </w:r>
      <w:r w:rsidR="00895D09">
        <w:rPr>
          <w:iCs/>
          <w:color w:val="000000" w:themeColor="text1"/>
        </w:rPr>
        <w:t xml:space="preserve">ads for </w:t>
      </w:r>
      <w:r w:rsidR="00381FD1">
        <w:rPr>
          <w:iCs/>
          <w:color w:val="000000" w:themeColor="text1"/>
        </w:rPr>
        <w:t xml:space="preserve">the </w:t>
      </w:r>
      <w:r w:rsidR="00895D09" w:rsidRPr="00895D09">
        <w:rPr>
          <w:iCs/>
          <w:color w:val="000000" w:themeColor="text1"/>
        </w:rPr>
        <w:t xml:space="preserve">computer programming </w:t>
      </w:r>
      <w:r w:rsidR="00381FD1" w:rsidRPr="00895D09">
        <w:rPr>
          <w:iCs/>
          <w:color w:val="000000" w:themeColor="text1"/>
        </w:rPr>
        <w:t>occupation</w:t>
      </w:r>
      <w:r w:rsidR="00381FD1">
        <w:rPr>
          <w:iCs/>
          <w:color w:val="000000" w:themeColor="text1"/>
        </w:rPr>
        <w:t xml:space="preserve"> </w:t>
      </w:r>
      <w:r w:rsidR="00895D09" w:rsidRPr="00895D09">
        <w:rPr>
          <w:iCs/>
          <w:color w:val="000000" w:themeColor="text1"/>
        </w:rPr>
        <w:t>group</w:t>
      </w:r>
      <w:r w:rsidR="00AD200F">
        <w:rPr>
          <w:iCs/>
          <w:color w:val="000000" w:themeColor="text1"/>
        </w:rPr>
        <w:t xml:space="preserve">. The majority of employers </w:t>
      </w:r>
      <w:r w:rsidR="00895D09">
        <w:rPr>
          <w:iCs/>
          <w:color w:val="000000" w:themeColor="text1"/>
        </w:rPr>
        <w:t>were</w:t>
      </w:r>
      <w:r w:rsidR="00AD200F">
        <w:rPr>
          <w:iCs/>
          <w:color w:val="000000" w:themeColor="text1"/>
        </w:rPr>
        <w:t xml:space="preserve"> looking for a candidate with a </w:t>
      </w:r>
      <w:r w:rsidR="003065FB">
        <w:rPr>
          <w:iCs/>
          <w:color w:val="000000" w:themeColor="text1"/>
        </w:rPr>
        <w:t>bachelor’s degree in 2016</w:t>
      </w:r>
      <w:r w:rsidR="00AD200F">
        <w:rPr>
          <w:iCs/>
          <w:color w:val="000000" w:themeColor="text1"/>
        </w:rPr>
        <w:t xml:space="preserve">. According to the Bureau of Labor Statistics, </w:t>
      </w:r>
      <w:r w:rsidR="00895D09">
        <w:rPr>
          <w:iCs/>
          <w:color w:val="000000" w:themeColor="text1"/>
        </w:rPr>
        <w:t xml:space="preserve">nearly </w:t>
      </w:r>
      <w:r w:rsidR="00AD200F">
        <w:rPr>
          <w:iCs/>
          <w:color w:val="000000" w:themeColor="text1"/>
        </w:rPr>
        <w:t xml:space="preserve">all the occupations listed </w:t>
      </w:r>
      <w:r w:rsidR="00895D09">
        <w:rPr>
          <w:iCs/>
          <w:color w:val="000000" w:themeColor="text1"/>
        </w:rPr>
        <w:t xml:space="preserve">typically </w:t>
      </w:r>
      <w:r w:rsidR="00AD200F">
        <w:rPr>
          <w:iCs/>
          <w:color w:val="000000" w:themeColor="text1"/>
        </w:rPr>
        <w:t xml:space="preserve">require the combination of a </w:t>
      </w:r>
      <w:r w:rsidR="0069150C">
        <w:rPr>
          <w:iCs/>
          <w:color w:val="000000" w:themeColor="text1"/>
        </w:rPr>
        <w:t>bachelor’s degree</w:t>
      </w:r>
      <w:r w:rsidR="00AD200F">
        <w:rPr>
          <w:iCs/>
          <w:color w:val="000000" w:themeColor="text1"/>
        </w:rPr>
        <w:t xml:space="preserve"> and </w:t>
      </w:r>
      <w:r w:rsidR="0069150C">
        <w:rPr>
          <w:iCs/>
          <w:color w:val="000000" w:themeColor="text1"/>
        </w:rPr>
        <w:t>no</w:t>
      </w:r>
      <w:r w:rsidR="003A3069">
        <w:rPr>
          <w:iCs/>
          <w:color w:val="000000" w:themeColor="text1"/>
        </w:rPr>
        <w:t xml:space="preserve"> on-the-job training. Only </w:t>
      </w:r>
      <w:r w:rsidR="0069150C">
        <w:rPr>
          <w:iCs/>
          <w:color w:val="000000" w:themeColor="text1"/>
        </w:rPr>
        <w:t>web developers</w:t>
      </w:r>
      <w:r w:rsidR="003A3069">
        <w:rPr>
          <w:iCs/>
          <w:color w:val="000000" w:themeColor="text1"/>
        </w:rPr>
        <w:t xml:space="preserve"> require </w:t>
      </w:r>
      <w:r w:rsidR="0069150C">
        <w:rPr>
          <w:iCs/>
          <w:color w:val="000000" w:themeColor="text1"/>
        </w:rPr>
        <w:t xml:space="preserve">an </w:t>
      </w:r>
      <w:r w:rsidR="00895D09">
        <w:rPr>
          <w:iCs/>
          <w:color w:val="000000" w:themeColor="text1"/>
        </w:rPr>
        <w:t>A</w:t>
      </w:r>
      <w:r w:rsidR="0069150C">
        <w:rPr>
          <w:iCs/>
          <w:color w:val="000000" w:themeColor="text1"/>
        </w:rPr>
        <w:t>ssociate’s degree</w:t>
      </w:r>
      <w:r w:rsidR="003A3069">
        <w:rPr>
          <w:iCs/>
          <w:color w:val="000000" w:themeColor="text1"/>
        </w:rPr>
        <w:t xml:space="preserve">. </w:t>
      </w:r>
    </w:p>
    <w:p w:rsidR="005775E0" w:rsidRPr="00391F5C" w:rsidRDefault="00924074" w:rsidP="00057ED5">
      <w:pPr>
        <w:shd w:val="clear" w:color="auto" w:fill="FFFFFF"/>
        <w:spacing w:after="0" w:line="360" w:lineRule="auto"/>
        <w:textAlignment w:val="baseline"/>
        <w:rPr>
          <w:i/>
          <w:iCs/>
          <w:color w:val="000000" w:themeColor="text1"/>
        </w:rPr>
      </w:pPr>
      <w:r>
        <w:rPr>
          <w:i/>
          <w:iCs/>
          <w:color w:val="000000" w:themeColor="text1"/>
        </w:rPr>
        <w:t xml:space="preserve">Exhibit 6: </w:t>
      </w:r>
      <w:r w:rsidR="00895D09">
        <w:rPr>
          <w:i/>
          <w:iCs/>
          <w:color w:val="000000" w:themeColor="text1"/>
        </w:rPr>
        <w:t>2016</w:t>
      </w:r>
      <w:r w:rsidR="005775E0" w:rsidRPr="00391F5C">
        <w:rPr>
          <w:i/>
          <w:iCs/>
          <w:color w:val="000000" w:themeColor="text1"/>
        </w:rPr>
        <w:t xml:space="preserve"> </w:t>
      </w:r>
      <w:r w:rsidR="00895D09">
        <w:rPr>
          <w:i/>
          <w:iCs/>
          <w:color w:val="000000" w:themeColor="text1"/>
        </w:rPr>
        <w:t>o</w:t>
      </w:r>
      <w:r w:rsidR="005775E0" w:rsidRPr="00391F5C">
        <w:rPr>
          <w:i/>
          <w:iCs/>
          <w:color w:val="000000" w:themeColor="text1"/>
        </w:rPr>
        <w:t xml:space="preserve">nline </w:t>
      </w:r>
      <w:r w:rsidR="00895D09">
        <w:rPr>
          <w:i/>
          <w:iCs/>
          <w:color w:val="000000" w:themeColor="text1"/>
        </w:rPr>
        <w:t>j</w:t>
      </w:r>
      <w:r w:rsidR="005775E0" w:rsidRPr="00391F5C">
        <w:rPr>
          <w:i/>
          <w:iCs/>
          <w:color w:val="000000" w:themeColor="text1"/>
        </w:rPr>
        <w:t xml:space="preserve">ob </w:t>
      </w:r>
      <w:r w:rsidR="00895D09">
        <w:rPr>
          <w:i/>
          <w:iCs/>
          <w:color w:val="000000" w:themeColor="text1"/>
        </w:rPr>
        <w:t>ads</w:t>
      </w:r>
      <w:r w:rsidR="005775E0" w:rsidRPr="00391F5C">
        <w:rPr>
          <w:i/>
          <w:iCs/>
          <w:color w:val="000000" w:themeColor="text1"/>
        </w:rPr>
        <w:t xml:space="preserve"> </w:t>
      </w:r>
      <w:r w:rsidR="00895D09">
        <w:rPr>
          <w:i/>
          <w:iCs/>
          <w:color w:val="000000" w:themeColor="text1"/>
        </w:rPr>
        <w:t>m</w:t>
      </w:r>
      <w:r w:rsidR="005775E0" w:rsidRPr="00391F5C">
        <w:rPr>
          <w:i/>
          <w:iCs/>
          <w:color w:val="000000" w:themeColor="text1"/>
        </w:rPr>
        <w:t xml:space="preserve">inimum </w:t>
      </w:r>
      <w:r w:rsidR="00895D09">
        <w:rPr>
          <w:i/>
          <w:iCs/>
          <w:color w:val="000000" w:themeColor="text1"/>
        </w:rPr>
        <w:t>a</w:t>
      </w:r>
      <w:r w:rsidR="005775E0" w:rsidRPr="00391F5C">
        <w:rPr>
          <w:i/>
          <w:iCs/>
          <w:color w:val="000000" w:themeColor="text1"/>
        </w:rPr>
        <w:t xml:space="preserve">dvertised </w:t>
      </w:r>
      <w:r w:rsidR="00895D09">
        <w:rPr>
          <w:i/>
          <w:iCs/>
          <w:color w:val="000000" w:themeColor="text1"/>
        </w:rPr>
        <w:t>e</w:t>
      </w:r>
      <w:r w:rsidR="005775E0" w:rsidRPr="00391F5C">
        <w:rPr>
          <w:i/>
          <w:iCs/>
          <w:color w:val="000000" w:themeColor="text1"/>
        </w:rPr>
        <w:t xml:space="preserve">ducation </w:t>
      </w:r>
      <w:r w:rsidR="00895D09">
        <w:rPr>
          <w:i/>
          <w:iCs/>
          <w:color w:val="000000" w:themeColor="text1"/>
        </w:rPr>
        <w:t>r</w:t>
      </w:r>
      <w:r w:rsidR="005775E0" w:rsidRPr="00391F5C">
        <w:rPr>
          <w:i/>
          <w:iCs/>
          <w:color w:val="000000" w:themeColor="text1"/>
        </w:rPr>
        <w:t>equirements for</w:t>
      </w:r>
      <w:r w:rsidR="00381FD1">
        <w:rPr>
          <w:i/>
          <w:iCs/>
          <w:color w:val="000000" w:themeColor="text1"/>
        </w:rPr>
        <w:t xml:space="preserve"> the</w:t>
      </w:r>
      <w:r w:rsidR="005775E0" w:rsidRPr="00391F5C">
        <w:rPr>
          <w:i/>
          <w:iCs/>
          <w:color w:val="000000" w:themeColor="text1"/>
        </w:rPr>
        <w:t xml:space="preserve"> </w:t>
      </w:r>
      <w:r w:rsidR="003065FB">
        <w:rPr>
          <w:i/>
          <w:iCs/>
          <w:color w:val="000000" w:themeColor="text1"/>
        </w:rPr>
        <w:t>computer programming</w:t>
      </w:r>
      <w:r w:rsidR="00BB344F">
        <w:rPr>
          <w:i/>
          <w:iCs/>
          <w:color w:val="000000" w:themeColor="text1"/>
        </w:rPr>
        <w:t xml:space="preserve"> occupation</w:t>
      </w:r>
      <w:r w:rsidR="00381FD1">
        <w:rPr>
          <w:i/>
          <w:iCs/>
          <w:color w:val="000000" w:themeColor="text1"/>
        </w:rPr>
        <w:t xml:space="preserve"> group </w:t>
      </w:r>
      <w:r w:rsidR="00BB344F">
        <w:rPr>
          <w:i/>
          <w:iCs/>
          <w:color w:val="000000" w:themeColor="text1"/>
        </w:rPr>
        <w:t xml:space="preserve">in the Riverside-San Bernardino-Ontario MSA </w:t>
      </w:r>
      <w:r w:rsidR="003065FB">
        <w:rPr>
          <w:i/>
          <w:iCs/>
          <w:color w:val="000000" w:themeColor="text1"/>
        </w:rPr>
        <w:t>(n=1,112</w:t>
      </w:r>
      <w:r w:rsidR="00066A98" w:rsidRPr="00391F5C">
        <w:rPr>
          <w:i/>
          <w:iCs/>
          <w:color w:val="000000" w:themeColor="text1"/>
        </w:rPr>
        <w:t>)</w:t>
      </w:r>
      <w:r w:rsidR="003065FB" w:rsidRPr="003065FB">
        <w:rPr>
          <w:noProof/>
        </w:rPr>
        <w:t xml:space="preserve"> </w:t>
      </w:r>
      <w:r w:rsidR="003065FB">
        <w:rPr>
          <w:noProof/>
        </w:rPr>
        <w:drawing>
          <wp:inline distT="0" distB="0" distL="0" distR="0" wp14:anchorId="3B173C21" wp14:editId="61E69396">
            <wp:extent cx="5943600" cy="20764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574" w:rsidRPr="006E6E4B" w:rsidRDefault="008449BF" w:rsidP="00057ED5">
      <w:pPr>
        <w:spacing w:after="0" w:line="360" w:lineRule="auto"/>
        <w:rPr>
          <w:sz w:val="20"/>
        </w:rPr>
      </w:pPr>
      <w:r w:rsidRPr="006E6E4B">
        <w:rPr>
          <w:bCs/>
          <w:sz w:val="20"/>
        </w:rPr>
        <w:lastRenderedPageBreak/>
        <w:t>Source: Burning Glass</w:t>
      </w:r>
    </w:p>
    <w:p w:rsidR="0069150C" w:rsidRDefault="0069150C" w:rsidP="00057ED5">
      <w:pPr>
        <w:pStyle w:val="Heading1"/>
        <w:spacing w:before="0" w:line="360" w:lineRule="auto"/>
        <w:rPr>
          <w:sz w:val="26"/>
          <w:szCs w:val="26"/>
        </w:rPr>
      </w:pPr>
    </w:p>
    <w:p w:rsidR="00CA2574" w:rsidRPr="00391F5C" w:rsidRDefault="00CA2574" w:rsidP="00057ED5">
      <w:pPr>
        <w:pStyle w:val="Heading1"/>
        <w:spacing w:before="0" w:line="360" w:lineRule="auto"/>
        <w:rPr>
          <w:sz w:val="26"/>
          <w:szCs w:val="26"/>
        </w:rPr>
      </w:pPr>
      <w:r w:rsidRPr="00391F5C">
        <w:rPr>
          <w:sz w:val="26"/>
          <w:szCs w:val="26"/>
        </w:rPr>
        <w:t>Student Completions</w:t>
      </w:r>
    </w:p>
    <w:p w:rsidR="00EB1B38" w:rsidRPr="00391F5C" w:rsidRDefault="00CA2574" w:rsidP="00EB1B38">
      <w:pPr>
        <w:spacing w:after="0" w:line="360" w:lineRule="auto"/>
      </w:pPr>
      <w:r w:rsidRPr="00391F5C">
        <w:t xml:space="preserve">Exhibit </w:t>
      </w:r>
      <w:r w:rsidR="00A04B5E" w:rsidRPr="00391F5C">
        <w:t>7</w:t>
      </w:r>
      <w:r w:rsidRPr="00391F5C">
        <w:t xml:space="preserve"> shows the projected 2015</w:t>
      </w:r>
      <w:r w:rsidR="00EB1B38">
        <w:t xml:space="preserve"> to </w:t>
      </w:r>
      <w:r w:rsidRPr="00391F5C">
        <w:t>2020 annual job openings for the occupation</w:t>
      </w:r>
      <w:r w:rsidR="00066A98" w:rsidRPr="00391F5C">
        <w:t>s</w:t>
      </w:r>
      <w:r w:rsidRPr="00391F5C">
        <w:t xml:space="preserve"> in Exhibit 1 with </w:t>
      </w:r>
      <w:r w:rsidR="00EB1B38">
        <w:t>the</w:t>
      </w:r>
      <w:r w:rsidRPr="00391F5C">
        <w:t xml:space="preserve"> associated TOP6 program. </w:t>
      </w:r>
      <w:r w:rsidR="00A04B5E" w:rsidRPr="00391F5C">
        <w:t>Exhibit 7</w:t>
      </w:r>
      <w:r w:rsidRPr="00391F5C">
        <w:t xml:space="preserve"> also shows the annual average regional community college awards</w:t>
      </w:r>
      <w:r w:rsidR="00D1344E">
        <w:t xml:space="preserve"> </w:t>
      </w:r>
      <w:r w:rsidR="00ED5BAB">
        <w:t xml:space="preserve">(Associate’s degree, certificates, or other awards) </w:t>
      </w:r>
      <w:r w:rsidR="00D1344E">
        <w:t xml:space="preserve">and </w:t>
      </w:r>
      <w:r w:rsidR="00D1344E" w:rsidRPr="00AE0296">
        <w:t>the total annual average awards for education institutions outside the California Community Colleges system</w:t>
      </w:r>
      <w:r w:rsidR="00895D09">
        <w:t xml:space="preserve"> for the three academic years from </w:t>
      </w:r>
      <w:r w:rsidR="00EB1B38">
        <w:t>2012 to 2015</w:t>
      </w:r>
      <w:r w:rsidRPr="00391F5C">
        <w:t>. Please note, an award is not equivalent to a single person in search of a job opening since students may earn more than one award, such as a degree in addition to a certificate.</w:t>
      </w:r>
      <w:r w:rsidR="00C05E08">
        <w:t xml:space="preserve"> </w:t>
      </w:r>
      <w:r w:rsidR="00EB1B38">
        <w:t xml:space="preserve">Exhibit 8 </w:t>
      </w:r>
      <w:r w:rsidR="00924074">
        <w:t>displays a training gap of 163</w:t>
      </w:r>
      <w:r w:rsidR="00EB1B38">
        <w:t xml:space="preserve"> jobs for occupations in cluster in the two-county region. </w:t>
      </w:r>
    </w:p>
    <w:p w:rsidR="00EB1B38" w:rsidRDefault="00EB1B38" w:rsidP="00057ED5">
      <w:pPr>
        <w:spacing w:after="0" w:line="360" w:lineRule="auto"/>
        <w:rPr>
          <w:i/>
          <w:iCs/>
          <w:color w:val="000000" w:themeColor="text1"/>
        </w:rPr>
      </w:pPr>
    </w:p>
    <w:p w:rsidR="0061481C" w:rsidRDefault="0061481C">
      <w:pPr>
        <w:rPr>
          <w:i/>
          <w:iCs/>
          <w:color w:val="000000" w:themeColor="text1"/>
        </w:rPr>
      </w:pPr>
      <w:r>
        <w:rPr>
          <w:i/>
          <w:iCs/>
          <w:color w:val="000000" w:themeColor="text1"/>
        </w:rPr>
        <w:br w:type="page"/>
      </w:r>
    </w:p>
    <w:p w:rsidR="00CA2574" w:rsidRPr="00391F5C" w:rsidRDefault="00CA2574" w:rsidP="00057ED5">
      <w:pPr>
        <w:spacing w:after="0" w:line="360" w:lineRule="auto"/>
        <w:rPr>
          <w:i/>
          <w:iCs/>
          <w:color w:val="000000" w:themeColor="text1"/>
        </w:rPr>
      </w:pPr>
      <w:r w:rsidRPr="00391F5C">
        <w:rPr>
          <w:i/>
          <w:iCs/>
          <w:color w:val="000000" w:themeColor="text1"/>
        </w:rPr>
        <w:lastRenderedPageBreak/>
        <w:t xml:space="preserve">Exhibit </w:t>
      </w:r>
      <w:r w:rsidR="00A04B5E" w:rsidRPr="00391F5C">
        <w:rPr>
          <w:i/>
          <w:iCs/>
          <w:color w:val="000000" w:themeColor="text1"/>
        </w:rPr>
        <w:t>7</w:t>
      </w:r>
      <w:r w:rsidRPr="00391F5C">
        <w:rPr>
          <w:i/>
          <w:iCs/>
          <w:color w:val="000000" w:themeColor="text1"/>
        </w:rPr>
        <w:t>:</w:t>
      </w:r>
      <w:r w:rsidR="00C05E08">
        <w:rPr>
          <w:i/>
          <w:iCs/>
          <w:color w:val="000000" w:themeColor="text1"/>
        </w:rPr>
        <w:t xml:space="preserve"> Annual </w:t>
      </w:r>
      <w:r w:rsidR="00381FD1">
        <w:rPr>
          <w:i/>
          <w:iCs/>
          <w:color w:val="000000" w:themeColor="text1"/>
        </w:rPr>
        <w:t>j</w:t>
      </w:r>
      <w:r w:rsidR="00C05E08">
        <w:rPr>
          <w:i/>
          <w:iCs/>
          <w:color w:val="000000" w:themeColor="text1"/>
        </w:rPr>
        <w:t xml:space="preserve">ob </w:t>
      </w:r>
      <w:r w:rsidR="00381FD1">
        <w:rPr>
          <w:i/>
          <w:iCs/>
          <w:color w:val="000000" w:themeColor="text1"/>
        </w:rPr>
        <w:t>o</w:t>
      </w:r>
      <w:r w:rsidR="00C05E08">
        <w:rPr>
          <w:i/>
          <w:iCs/>
          <w:color w:val="000000" w:themeColor="text1"/>
        </w:rPr>
        <w:t xml:space="preserve">penings and </w:t>
      </w:r>
      <w:r w:rsidR="00381FD1">
        <w:rPr>
          <w:i/>
          <w:iCs/>
          <w:color w:val="000000" w:themeColor="text1"/>
        </w:rPr>
        <w:t>s</w:t>
      </w:r>
      <w:r w:rsidRPr="00391F5C">
        <w:rPr>
          <w:i/>
          <w:iCs/>
          <w:color w:val="000000" w:themeColor="text1"/>
        </w:rPr>
        <w:t xml:space="preserve">tudent </w:t>
      </w:r>
      <w:r w:rsidR="00381FD1">
        <w:rPr>
          <w:i/>
          <w:iCs/>
          <w:color w:val="000000" w:themeColor="text1"/>
        </w:rPr>
        <w:t>c</w:t>
      </w:r>
      <w:r w:rsidRPr="00391F5C">
        <w:rPr>
          <w:i/>
          <w:iCs/>
          <w:color w:val="000000" w:themeColor="text1"/>
        </w:rPr>
        <w:t xml:space="preserve">ompletions </w:t>
      </w:r>
      <w:r w:rsidR="00381FD1">
        <w:rPr>
          <w:i/>
          <w:iCs/>
          <w:color w:val="000000" w:themeColor="text1"/>
        </w:rPr>
        <w:t>for the</w:t>
      </w:r>
      <w:r w:rsidR="00924074">
        <w:rPr>
          <w:i/>
          <w:iCs/>
          <w:color w:val="000000" w:themeColor="text1"/>
        </w:rPr>
        <w:t xml:space="preserve"> computer programming</w:t>
      </w:r>
      <w:r w:rsidR="00BB344F">
        <w:rPr>
          <w:i/>
          <w:iCs/>
          <w:color w:val="000000" w:themeColor="text1"/>
        </w:rPr>
        <w:t xml:space="preserve"> occupation</w:t>
      </w:r>
      <w:r w:rsidR="00381FD1">
        <w:rPr>
          <w:i/>
          <w:iCs/>
          <w:color w:val="000000" w:themeColor="text1"/>
        </w:rPr>
        <w:t xml:space="preserve"> group</w:t>
      </w:r>
      <w:r w:rsidR="00BB344F">
        <w:rPr>
          <w:i/>
          <w:iCs/>
          <w:color w:val="000000" w:themeColor="text1"/>
        </w:rPr>
        <w:t xml:space="preserve"> program </w:t>
      </w:r>
      <w:r w:rsidR="00A04B5E" w:rsidRPr="00391F5C">
        <w:rPr>
          <w:i/>
          <w:iCs/>
          <w:color w:val="000000" w:themeColor="text1"/>
        </w:rPr>
        <w:t>in Rive</w:t>
      </w:r>
      <w:r w:rsidR="006A1451">
        <w:rPr>
          <w:i/>
          <w:iCs/>
          <w:color w:val="000000" w:themeColor="text1"/>
        </w:rPr>
        <w:t>rside-San Bernardino-Ontario MS</w:t>
      </w:r>
      <w:r w:rsidR="001D18FD">
        <w:rPr>
          <w:i/>
          <w:iCs/>
          <w:color w:val="000000" w:themeColor="text1"/>
        </w:rPr>
        <w:t>A</w:t>
      </w:r>
    </w:p>
    <w:tbl>
      <w:tblPr>
        <w:tblW w:w="95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2478"/>
        <w:gridCol w:w="1440"/>
        <w:gridCol w:w="1440"/>
        <w:gridCol w:w="1584"/>
        <w:gridCol w:w="1584"/>
      </w:tblGrid>
      <w:tr w:rsidR="00D1344E" w:rsidRPr="00391F5C" w:rsidTr="00D1344E">
        <w:trPr>
          <w:trHeight w:val="1317"/>
        </w:trPr>
        <w:tc>
          <w:tcPr>
            <w:tcW w:w="1011" w:type="dxa"/>
            <w:shd w:val="clear" w:color="auto" w:fill="F0B47A" w:themeFill="accent3" w:themeFillTint="99"/>
            <w:noWrap/>
            <w:vAlign w:val="center"/>
            <w:hideMark/>
          </w:tcPr>
          <w:p w:rsidR="00D1344E" w:rsidRPr="00391F5C" w:rsidRDefault="00EB1B38" w:rsidP="00057ED5">
            <w:pPr>
              <w:spacing w:after="0" w:line="360" w:lineRule="auto"/>
              <w:jc w:val="center"/>
              <w:rPr>
                <w:rFonts w:eastAsia="Times New Roman" w:cs="Times New Roman"/>
                <w:b/>
                <w:color w:val="000000"/>
              </w:rPr>
            </w:pPr>
            <w:r>
              <w:rPr>
                <w:rFonts w:eastAsia="Times New Roman" w:cs="Times New Roman"/>
                <w:b/>
                <w:color w:val="000000"/>
              </w:rPr>
              <w:t>TOP</w:t>
            </w:r>
            <w:r w:rsidR="00D1344E" w:rsidRPr="00391F5C">
              <w:rPr>
                <w:rFonts w:eastAsia="Times New Roman" w:cs="Times New Roman"/>
                <w:b/>
                <w:color w:val="000000"/>
              </w:rPr>
              <w:t>6</w:t>
            </w:r>
          </w:p>
        </w:tc>
        <w:tc>
          <w:tcPr>
            <w:tcW w:w="2478" w:type="dxa"/>
            <w:shd w:val="clear" w:color="auto" w:fill="F0B47A" w:themeFill="accent3" w:themeFillTint="99"/>
            <w:noWrap/>
            <w:vAlign w:val="center"/>
            <w:hideMark/>
          </w:tcPr>
          <w:p w:rsidR="00D1344E" w:rsidRPr="00391F5C" w:rsidRDefault="00EB1B38" w:rsidP="00057ED5">
            <w:pPr>
              <w:spacing w:after="0" w:line="360" w:lineRule="auto"/>
              <w:jc w:val="center"/>
              <w:rPr>
                <w:rFonts w:eastAsia="Times New Roman" w:cs="Times New Roman"/>
                <w:b/>
                <w:color w:val="000000"/>
              </w:rPr>
            </w:pPr>
            <w:r>
              <w:rPr>
                <w:rFonts w:eastAsia="Times New Roman" w:cs="Times New Roman"/>
                <w:b/>
                <w:color w:val="000000"/>
              </w:rPr>
              <w:t>TOP</w:t>
            </w:r>
            <w:r w:rsidR="00D1344E" w:rsidRPr="00391F5C">
              <w:rPr>
                <w:rFonts w:eastAsia="Times New Roman" w:cs="Times New Roman"/>
                <w:b/>
                <w:color w:val="000000"/>
              </w:rPr>
              <w:t>6 Title</w:t>
            </w:r>
          </w:p>
        </w:tc>
        <w:tc>
          <w:tcPr>
            <w:tcW w:w="1440" w:type="dxa"/>
            <w:shd w:val="clear" w:color="auto" w:fill="F0B47A" w:themeFill="accent3" w:themeFillTint="99"/>
            <w:vAlign w:val="center"/>
          </w:tcPr>
          <w:p w:rsidR="00D1344E" w:rsidRPr="00391F5C" w:rsidRDefault="00D1344E" w:rsidP="00057ED5">
            <w:pPr>
              <w:spacing w:after="0" w:line="360" w:lineRule="auto"/>
              <w:jc w:val="center"/>
              <w:rPr>
                <w:rFonts w:eastAsia="Times New Roman" w:cs="Times New Roman"/>
                <w:b/>
                <w:color w:val="000000"/>
              </w:rPr>
            </w:pPr>
            <w:r w:rsidRPr="00391F5C">
              <w:rPr>
                <w:rFonts w:eastAsia="Times New Roman" w:cs="Times New Roman"/>
                <w:b/>
                <w:color w:val="000000"/>
              </w:rPr>
              <w:t>Annual Job Openings</w:t>
            </w:r>
          </w:p>
        </w:tc>
        <w:tc>
          <w:tcPr>
            <w:tcW w:w="1440" w:type="dxa"/>
            <w:shd w:val="clear" w:color="auto" w:fill="F0B47A" w:themeFill="accent3" w:themeFillTint="99"/>
            <w:vAlign w:val="center"/>
            <w:hideMark/>
          </w:tcPr>
          <w:p w:rsidR="00D1344E" w:rsidRPr="00391F5C" w:rsidRDefault="00D1344E" w:rsidP="00057ED5">
            <w:pPr>
              <w:spacing w:after="0" w:line="360" w:lineRule="auto"/>
              <w:jc w:val="center"/>
              <w:rPr>
                <w:rFonts w:eastAsia="Times New Roman" w:cs="Times New Roman"/>
                <w:b/>
                <w:color w:val="000000"/>
              </w:rPr>
            </w:pPr>
            <w:r w:rsidRPr="00391F5C">
              <w:rPr>
                <w:rFonts w:eastAsia="Times New Roman" w:cs="Times New Roman"/>
                <w:b/>
                <w:color w:val="000000"/>
              </w:rPr>
              <w:t>Annual Avg</w:t>
            </w:r>
            <w:r w:rsidR="00EB1B38">
              <w:rPr>
                <w:rFonts w:eastAsia="Times New Roman" w:cs="Times New Roman"/>
                <w:b/>
                <w:color w:val="000000"/>
              </w:rPr>
              <w:t>.</w:t>
            </w:r>
            <w:r w:rsidRPr="00391F5C">
              <w:rPr>
                <w:rFonts w:eastAsia="Times New Roman" w:cs="Times New Roman"/>
                <w:b/>
                <w:color w:val="000000"/>
              </w:rPr>
              <w:t xml:space="preserve"> Associate Degrees (2012-15)</w:t>
            </w:r>
          </w:p>
        </w:tc>
        <w:tc>
          <w:tcPr>
            <w:tcW w:w="1584" w:type="dxa"/>
            <w:shd w:val="clear" w:color="auto" w:fill="F0B47A" w:themeFill="accent3" w:themeFillTint="99"/>
            <w:vAlign w:val="center"/>
            <w:hideMark/>
          </w:tcPr>
          <w:p w:rsidR="00D1344E" w:rsidRPr="00391F5C" w:rsidRDefault="00D1344E" w:rsidP="00057ED5">
            <w:pPr>
              <w:spacing w:after="0" w:line="360" w:lineRule="auto"/>
              <w:jc w:val="center"/>
              <w:rPr>
                <w:rFonts w:eastAsia="Times New Roman" w:cs="Times New Roman"/>
                <w:b/>
                <w:color w:val="000000"/>
              </w:rPr>
            </w:pPr>
            <w:r w:rsidRPr="00391F5C">
              <w:rPr>
                <w:rFonts w:eastAsia="Times New Roman" w:cs="Times New Roman"/>
                <w:b/>
                <w:color w:val="000000"/>
              </w:rPr>
              <w:t>Annual Avg</w:t>
            </w:r>
            <w:r w:rsidR="00EB1B38">
              <w:rPr>
                <w:rFonts w:eastAsia="Times New Roman" w:cs="Times New Roman"/>
                <w:b/>
                <w:color w:val="000000"/>
              </w:rPr>
              <w:t>.</w:t>
            </w:r>
            <w:r w:rsidRPr="00391F5C">
              <w:rPr>
                <w:rFonts w:eastAsia="Times New Roman" w:cs="Times New Roman"/>
                <w:b/>
                <w:color w:val="000000"/>
              </w:rPr>
              <w:t xml:space="preserve"> Certificates or Other Credit Awards (2012-15)</w:t>
            </w:r>
          </w:p>
        </w:tc>
        <w:tc>
          <w:tcPr>
            <w:tcW w:w="1584" w:type="dxa"/>
            <w:shd w:val="clear" w:color="auto" w:fill="F0B47A" w:themeFill="accent3" w:themeFillTint="99"/>
            <w:vAlign w:val="center"/>
          </w:tcPr>
          <w:p w:rsidR="00D1344E" w:rsidRPr="00391F5C" w:rsidRDefault="00D1344E" w:rsidP="00ED5BAB">
            <w:pPr>
              <w:spacing w:after="0" w:line="360" w:lineRule="auto"/>
              <w:jc w:val="center"/>
              <w:rPr>
                <w:rFonts w:eastAsia="Times New Roman" w:cs="Times New Roman"/>
                <w:b/>
                <w:color w:val="000000"/>
              </w:rPr>
            </w:pPr>
            <w:r w:rsidRPr="00D1344E">
              <w:rPr>
                <w:rFonts w:eastAsia="Times New Roman" w:cs="Times New Roman"/>
                <w:b/>
                <w:color w:val="000000"/>
              </w:rPr>
              <w:t>Total Other Ed</w:t>
            </w:r>
            <w:r w:rsidR="00ED5BAB">
              <w:rPr>
                <w:rFonts w:eastAsia="Times New Roman" w:cs="Times New Roman"/>
                <w:b/>
                <w:color w:val="000000"/>
              </w:rPr>
              <w:t>u.</w:t>
            </w:r>
            <w:r w:rsidRPr="00D1344E">
              <w:rPr>
                <w:rFonts w:eastAsia="Times New Roman" w:cs="Times New Roman"/>
                <w:b/>
                <w:color w:val="000000"/>
              </w:rPr>
              <w:t xml:space="preserve"> </w:t>
            </w:r>
            <w:r w:rsidR="00ED5BAB">
              <w:rPr>
                <w:rFonts w:eastAsia="Times New Roman" w:cs="Times New Roman"/>
                <w:b/>
                <w:color w:val="000000"/>
              </w:rPr>
              <w:t xml:space="preserve">Institutions </w:t>
            </w:r>
            <w:r w:rsidRPr="00D1344E">
              <w:rPr>
                <w:rFonts w:eastAsia="Times New Roman" w:cs="Times New Roman"/>
                <w:b/>
                <w:color w:val="000000"/>
              </w:rPr>
              <w:t>Annual Avg</w:t>
            </w:r>
            <w:r w:rsidR="00EB1B38">
              <w:rPr>
                <w:rFonts w:eastAsia="Times New Roman" w:cs="Times New Roman"/>
                <w:b/>
                <w:color w:val="000000"/>
              </w:rPr>
              <w:t>.</w:t>
            </w:r>
            <w:r w:rsidRPr="00D1344E">
              <w:rPr>
                <w:rFonts w:eastAsia="Times New Roman" w:cs="Times New Roman"/>
                <w:b/>
                <w:color w:val="000000"/>
              </w:rPr>
              <w:t xml:space="preserve"> Awards (2012-15)</w:t>
            </w:r>
          </w:p>
        </w:tc>
      </w:tr>
      <w:tr w:rsidR="00034224" w:rsidRPr="00391F5C" w:rsidTr="00D1344E">
        <w:trPr>
          <w:trHeight w:val="659"/>
        </w:trPr>
        <w:tc>
          <w:tcPr>
            <w:tcW w:w="1011" w:type="dxa"/>
            <w:shd w:val="clear" w:color="auto" w:fill="auto"/>
            <w:noWrap/>
            <w:vAlign w:val="center"/>
            <w:hideMark/>
          </w:tcPr>
          <w:p w:rsidR="00034224" w:rsidRPr="00391F5C" w:rsidRDefault="00034224" w:rsidP="0069150C">
            <w:pPr>
              <w:spacing w:after="0" w:line="360" w:lineRule="auto"/>
              <w:jc w:val="center"/>
              <w:rPr>
                <w:rFonts w:eastAsia="Times New Roman" w:cs="Times New Roman"/>
                <w:color w:val="000000"/>
              </w:rPr>
            </w:pPr>
            <w:r w:rsidRPr="00391F5C">
              <w:rPr>
                <w:rFonts w:eastAsia="Times New Roman" w:cs="Times New Roman"/>
                <w:color w:val="000000"/>
              </w:rPr>
              <w:t>0</w:t>
            </w:r>
            <w:r w:rsidR="0069150C">
              <w:rPr>
                <w:rFonts w:eastAsia="Times New Roman" w:cs="Times New Roman"/>
                <w:color w:val="000000"/>
              </w:rPr>
              <w:t>70710</w:t>
            </w:r>
          </w:p>
        </w:tc>
        <w:tc>
          <w:tcPr>
            <w:tcW w:w="2478" w:type="dxa"/>
            <w:shd w:val="clear" w:color="auto" w:fill="auto"/>
            <w:vAlign w:val="center"/>
            <w:hideMark/>
          </w:tcPr>
          <w:p w:rsidR="00034224" w:rsidRPr="00391F5C" w:rsidRDefault="0069150C" w:rsidP="00057ED5">
            <w:pPr>
              <w:spacing w:after="0" w:line="360" w:lineRule="auto"/>
              <w:rPr>
                <w:rFonts w:eastAsia="Times New Roman" w:cs="Times New Roman"/>
                <w:color w:val="000000"/>
              </w:rPr>
            </w:pPr>
            <w:r>
              <w:rPr>
                <w:rFonts w:eastAsia="Times New Roman" w:cs="Times New Roman"/>
                <w:color w:val="000000"/>
              </w:rPr>
              <w:t>Computer Programming</w:t>
            </w:r>
          </w:p>
        </w:tc>
        <w:tc>
          <w:tcPr>
            <w:tcW w:w="1440" w:type="dxa"/>
            <w:vMerge w:val="restart"/>
            <w:vAlign w:val="center"/>
          </w:tcPr>
          <w:p w:rsidR="00034224" w:rsidRPr="00895D09" w:rsidRDefault="0069150C" w:rsidP="00EB1B38">
            <w:pPr>
              <w:spacing w:after="0" w:line="360" w:lineRule="auto"/>
              <w:jc w:val="center"/>
              <w:rPr>
                <w:rFonts w:eastAsia="Times New Roman" w:cs="Times New Roman"/>
                <w:b/>
                <w:color w:val="000000"/>
              </w:rPr>
            </w:pPr>
            <w:r w:rsidRPr="00895D09">
              <w:rPr>
                <w:rFonts w:eastAsia="Times New Roman" w:cs="Times New Roman"/>
                <w:b/>
                <w:color w:val="000000"/>
              </w:rPr>
              <w:t>211</w:t>
            </w:r>
          </w:p>
        </w:tc>
        <w:tc>
          <w:tcPr>
            <w:tcW w:w="1440" w:type="dxa"/>
            <w:shd w:val="clear" w:color="auto" w:fill="auto"/>
            <w:noWrap/>
            <w:vAlign w:val="center"/>
          </w:tcPr>
          <w:p w:rsidR="00034224" w:rsidRPr="00391F5C" w:rsidRDefault="0069150C" w:rsidP="00057ED5">
            <w:pPr>
              <w:spacing w:after="0" w:line="360" w:lineRule="auto"/>
              <w:jc w:val="center"/>
              <w:rPr>
                <w:rFonts w:eastAsia="Times New Roman" w:cs="Times New Roman"/>
                <w:color w:val="000000"/>
              </w:rPr>
            </w:pPr>
            <w:r>
              <w:rPr>
                <w:rFonts w:eastAsia="Times New Roman" w:cs="Times New Roman"/>
                <w:color w:val="000000"/>
              </w:rPr>
              <w:t>16</w:t>
            </w:r>
          </w:p>
        </w:tc>
        <w:tc>
          <w:tcPr>
            <w:tcW w:w="1584" w:type="dxa"/>
            <w:shd w:val="clear" w:color="auto" w:fill="auto"/>
            <w:noWrap/>
            <w:vAlign w:val="center"/>
          </w:tcPr>
          <w:p w:rsidR="00034224" w:rsidRPr="00391F5C" w:rsidRDefault="0069150C" w:rsidP="00057ED5">
            <w:pPr>
              <w:spacing w:after="0" w:line="360" w:lineRule="auto"/>
              <w:jc w:val="center"/>
              <w:rPr>
                <w:rFonts w:eastAsia="Times New Roman" w:cs="Times New Roman"/>
                <w:color w:val="000000"/>
              </w:rPr>
            </w:pPr>
            <w:r>
              <w:rPr>
                <w:rFonts w:eastAsia="Times New Roman" w:cs="Times New Roman"/>
                <w:color w:val="000000"/>
              </w:rPr>
              <w:t>32</w:t>
            </w:r>
          </w:p>
        </w:tc>
        <w:tc>
          <w:tcPr>
            <w:tcW w:w="1584" w:type="dxa"/>
            <w:vAlign w:val="center"/>
          </w:tcPr>
          <w:p w:rsidR="00034224" w:rsidRPr="00391F5C" w:rsidRDefault="0069150C" w:rsidP="00057ED5">
            <w:pPr>
              <w:spacing w:after="0" w:line="360" w:lineRule="auto"/>
              <w:jc w:val="center"/>
              <w:rPr>
                <w:rFonts w:eastAsia="Times New Roman" w:cs="Times New Roman"/>
                <w:color w:val="000000"/>
              </w:rPr>
            </w:pPr>
            <w:r>
              <w:rPr>
                <w:rFonts w:eastAsia="Times New Roman" w:cs="Times New Roman"/>
                <w:color w:val="000000"/>
              </w:rPr>
              <w:t>-</w:t>
            </w:r>
          </w:p>
        </w:tc>
      </w:tr>
      <w:tr w:rsidR="00034224" w:rsidRPr="00391F5C" w:rsidTr="00705118">
        <w:trPr>
          <w:trHeight w:val="659"/>
        </w:trPr>
        <w:tc>
          <w:tcPr>
            <w:tcW w:w="3489" w:type="dxa"/>
            <w:gridSpan w:val="2"/>
            <w:shd w:val="clear" w:color="auto" w:fill="auto"/>
            <w:noWrap/>
            <w:vAlign w:val="center"/>
          </w:tcPr>
          <w:p w:rsidR="00034224" w:rsidRPr="00034224" w:rsidRDefault="00034224" w:rsidP="00057ED5">
            <w:pPr>
              <w:spacing w:after="0" w:line="360" w:lineRule="auto"/>
              <w:jc w:val="center"/>
              <w:rPr>
                <w:rFonts w:eastAsia="Times New Roman" w:cs="Times New Roman"/>
                <w:b/>
                <w:color w:val="000000"/>
              </w:rPr>
            </w:pPr>
            <w:r w:rsidRPr="00034224">
              <w:rPr>
                <w:rFonts w:eastAsia="Times New Roman" w:cs="Times New Roman"/>
                <w:b/>
                <w:color w:val="000000"/>
              </w:rPr>
              <w:t>Total</w:t>
            </w:r>
          </w:p>
        </w:tc>
        <w:tc>
          <w:tcPr>
            <w:tcW w:w="1440" w:type="dxa"/>
            <w:vMerge/>
            <w:vAlign w:val="center"/>
          </w:tcPr>
          <w:p w:rsidR="00034224" w:rsidRPr="00391F5C" w:rsidRDefault="00034224" w:rsidP="00057ED5">
            <w:pPr>
              <w:spacing w:after="0" w:line="360" w:lineRule="auto"/>
              <w:jc w:val="center"/>
              <w:rPr>
                <w:rFonts w:eastAsia="Times New Roman" w:cs="Times New Roman"/>
                <w:color w:val="000000"/>
              </w:rPr>
            </w:pPr>
          </w:p>
        </w:tc>
        <w:tc>
          <w:tcPr>
            <w:tcW w:w="4608" w:type="dxa"/>
            <w:gridSpan w:val="3"/>
            <w:shd w:val="clear" w:color="auto" w:fill="auto"/>
            <w:noWrap/>
            <w:vAlign w:val="center"/>
          </w:tcPr>
          <w:p w:rsidR="00034224" w:rsidRPr="00895D09" w:rsidRDefault="0069150C" w:rsidP="00057ED5">
            <w:pPr>
              <w:spacing w:after="0" w:line="360" w:lineRule="auto"/>
              <w:jc w:val="center"/>
              <w:rPr>
                <w:rFonts w:eastAsia="Times New Roman" w:cs="Times New Roman"/>
                <w:b/>
                <w:color w:val="000000"/>
              </w:rPr>
            </w:pPr>
            <w:r w:rsidRPr="00895D09">
              <w:rPr>
                <w:rFonts w:eastAsia="Times New Roman" w:cs="Times New Roman"/>
                <w:b/>
                <w:color w:val="000000"/>
              </w:rPr>
              <w:t>48</w:t>
            </w:r>
          </w:p>
        </w:tc>
      </w:tr>
    </w:tbl>
    <w:p w:rsidR="00BF710E" w:rsidRDefault="00BF710E" w:rsidP="00057ED5">
      <w:pPr>
        <w:pStyle w:val="Heading1"/>
        <w:spacing w:before="0" w:line="360" w:lineRule="auto"/>
        <w:rPr>
          <w:sz w:val="26"/>
          <w:szCs w:val="26"/>
        </w:rPr>
      </w:pPr>
    </w:p>
    <w:p w:rsidR="0061481C" w:rsidRDefault="0061481C" w:rsidP="00EB1B38">
      <w:pPr>
        <w:rPr>
          <w:i/>
          <w:iCs/>
          <w:color w:val="000000" w:themeColor="text1"/>
        </w:rPr>
      </w:pPr>
    </w:p>
    <w:p w:rsidR="00EB1B38" w:rsidRDefault="00EB1B38" w:rsidP="00EB1B38">
      <w:pPr>
        <w:rPr>
          <w:i/>
          <w:iCs/>
          <w:color w:val="000000" w:themeColor="text1"/>
        </w:rPr>
      </w:pPr>
      <w:r w:rsidRPr="00391F5C">
        <w:rPr>
          <w:i/>
          <w:iCs/>
          <w:color w:val="000000" w:themeColor="text1"/>
        </w:rPr>
        <w:t xml:space="preserve">Exhibit </w:t>
      </w:r>
      <w:r>
        <w:rPr>
          <w:i/>
          <w:iCs/>
          <w:color w:val="000000" w:themeColor="text1"/>
        </w:rPr>
        <w:t>8</w:t>
      </w:r>
      <w:r w:rsidRPr="00391F5C">
        <w:rPr>
          <w:i/>
          <w:iCs/>
          <w:color w:val="000000" w:themeColor="text1"/>
        </w:rPr>
        <w:t>:</w:t>
      </w:r>
      <w:r>
        <w:rPr>
          <w:i/>
          <w:iCs/>
          <w:color w:val="000000" w:themeColor="text1"/>
        </w:rPr>
        <w:t xml:space="preserve"> Training </w:t>
      </w:r>
      <w:r w:rsidR="00895D09">
        <w:rPr>
          <w:i/>
          <w:iCs/>
          <w:color w:val="000000" w:themeColor="text1"/>
        </w:rPr>
        <w:t>g</w:t>
      </w:r>
      <w:r>
        <w:rPr>
          <w:i/>
          <w:iCs/>
          <w:color w:val="000000" w:themeColor="text1"/>
        </w:rPr>
        <w:t>ap</w:t>
      </w:r>
      <w:r w:rsidRPr="00391F5C">
        <w:rPr>
          <w:i/>
          <w:iCs/>
          <w:color w:val="000000" w:themeColor="text1"/>
        </w:rPr>
        <w:t xml:space="preserve"> </w:t>
      </w:r>
      <w:r w:rsidR="0069150C">
        <w:rPr>
          <w:i/>
          <w:iCs/>
          <w:color w:val="000000" w:themeColor="text1"/>
        </w:rPr>
        <w:t>for</w:t>
      </w:r>
      <w:r w:rsidR="00381FD1">
        <w:rPr>
          <w:i/>
          <w:iCs/>
          <w:color w:val="000000" w:themeColor="text1"/>
        </w:rPr>
        <w:t xml:space="preserve"> the</w:t>
      </w:r>
      <w:r w:rsidR="004A430F">
        <w:rPr>
          <w:i/>
          <w:iCs/>
          <w:color w:val="000000" w:themeColor="text1"/>
        </w:rPr>
        <w:t xml:space="preserve"> </w:t>
      </w:r>
      <w:r w:rsidR="0069150C">
        <w:rPr>
          <w:i/>
          <w:iCs/>
          <w:color w:val="000000" w:themeColor="text1"/>
        </w:rPr>
        <w:t>computer programming</w:t>
      </w:r>
      <w:r>
        <w:rPr>
          <w:i/>
          <w:iCs/>
          <w:color w:val="000000" w:themeColor="text1"/>
        </w:rPr>
        <w:t xml:space="preserve"> </w:t>
      </w:r>
      <w:r w:rsidR="00381FD1">
        <w:rPr>
          <w:i/>
          <w:iCs/>
          <w:color w:val="000000" w:themeColor="text1"/>
        </w:rPr>
        <w:t>occupation</w:t>
      </w:r>
      <w:r>
        <w:rPr>
          <w:i/>
          <w:iCs/>
          <w:color w:val="000000" w:themeColor="text1"/>
        </w:rPr>
        <w:t xml:space="preserve"> </w:t>
      </w:r>
      <w:r w:rsidR="00381FD1">
        <w:rPr>
          <w:i/>
          <w:iCs/>
          <w:color w:val="000000" w:themeColor="text1"/>
        </w:rPr>
        <w:t xml:space="preserve">group </w:t>
      </w:r>
      <w:r w:rsidRPr="00391F5C">
        <w:rPr>
          <w:i/>
          <w:iCs/>
          <w:color w:val="000000" w:themeColor="text1"/>
        </w:rPr>
        <w:t>in</w:t>
      </w:r>
      <w:r>
        <w:rPr>
          <w:i/>
          <w:iCs/>
          <w:color w:val="000000" w:themeColor="text1"/>
        </w:rPr>
        <w:t xml:space="preserve"> the</w:t>
      </w:r>
      <w:r w:rsidRPr="00391F5C">
        <w:rPr>
          <w:i/>
          <w:iCs/>
          <w:color w:val="000000" w:themeColor="text1"/>
        </w:rPr>
        <w:t xml:space="preserve"> Rive</w:t>
      </w:r>
      <w:r>
        <w:rPr>
          <w:i/>
          <w:iCs/>
          <w:color w:val="000000" w:themeColor="text1"/>
        </w:rPr>
        <w:t>rside-San Bernardino-Ontario MSA</w:t>
      </w:r>
    </w:p>
    <w:p w:rsidR="00EB1B38" w:rsidRPr="003D74CF" w:rsidRDefault="00EB1B38" w:rsidP="00EB1B38">
      <w:pPr>
        <w:rPr>
          <w:iCs/>
          <w:color w:val="000000" w:themeColor="text1"/>
        </w:rPr>
      </w:pPr>
      <w:r>
        <w:rPr>
          <w:iCs/>
          <w:noProof/>
          <w:color w:val="000000" w:themeColor="text1"/>
        </w:rPr>
        <w:drawing>
          <wp:inline distT="0" distB="0" distL="0" distR="0" wp14:anchorId="63EB42C6" wp14:editId="536DA48F">
            <wp:extent cx="6162675" cy="1638300"/>
            <wp:effectExtent l="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B1B38" w:rsidRDefault="00EB1B38" w:rsidP="00EB1B38">
      <w:pPr>
        <w:pStyle w:val="Heading1"/>
        <w:spacing w:before="0" w:line="240" w:lineRule="auto"/>
        <w:rPr>
          <w:sz w:val="26"/>
          <w:szCs w:val="26"/>
        </w:rPr>
      </w:pPr>
    </w:p>
    <w:p w:rsidR="00EB1B38" w:rsidRDefault="00EB1B38" w:rsidP="00EB1B38">
      <w:pPr>
        <w:spacing w:line="240" w:lineRule="auto"/>
      </w:pPr>
    </w:p>
    <w:p w:rsidR="00EB1B38" w:rsidRPr="00EC1869" w:rsidRDefault="00EB1B38" w:rsidP="00EB1B38">
      <w:pPr>
        <w:spacing w:line="240" w:lineRule="auto"/>
      </w:pPr>
      <w:r w:rsidRPr="00EC1869">
        <w:t>Michael Goss, Director</w:t>
      </w:r>
    </w:p>
    <w:p w:rsidR="00EB1B38" w:rsidRPr="00EC1869" w:rsidRDefault="00EB1B38" w:rsidP="00EB1B38">
      <w:pPr>
        <w:spacing w:line="240" w:lineRule="auto"/>
      </w:pPr>
      <w:r w:rsidRPr="00EC1869">
        <w:t>Center of Excellence, Inland Empire/ Desert Region</w:t>
      </w:r>
    </w:p>
    <w:p w:rsidR="00EB1B38" w:rsidRPr="00EC1869" w:rsidRDefault="00AF3167" w:rsidP="00EB1B38">
      <w:pPr>
        <w:spacing w:line="240" w:lineRule="auto"/>
      </w:pPr>
      <w:hyperlink r:id="rId15" w:history="1">
        <w:r w:rsidR="00EB1B38" w:rsidRPr="00EC1869">
          <w:rPr>
            <w:rStyle w:val="Hyperlink"/>
            <w:rFonts w:eastAsiaTheme="majorEastAsia" w:cstheme="majorBidi"/>
            <w:b/>
            <w:bCs/>
          </w:rPr>
          <w:t>michael.goss@chaffey.edu</w:t>
        </w:r>
      </w:hyperlink>
    </w:p>
    <w:p w:rsidR="00EB1B38" w:rsidRPr="00EC1869" w:rsidRDefault="0069150C" w:rsidP="00EB1B38">
      <w:pPr>
        <w:spacing w:line="240" w:lineRule="auto"/>
      </w:pPr>
      <w:r>
        <w:t>January 2017</w:t>
      </w:r>
    </w:p>
    <w:p w:rsidR="00620319" w:rsidRPr="00391F5C" w:rsidRDefault="00620319" w:rsidP="00057ED5">
      <w:pPr>
        <w:spacing w:after="0" w:line="360" w:lineRule="auto"/>
        <w:rPr>
          <w:i/>
          <w:iCs/>
          <w:color w:val="000000" w:themeColor="text1"/>
        </w:rPr>
      </w:pPr>
    </w:p>
    <w:sectPr w:rsidR="00620319" w:rsidRPr="00391F5C" w:rsidSect="00EA175D">
      <w:headerReference w:type="default" r:id="rId16"/>
      <w:footerReference w:type="default" r:id="rId1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167" w:rsidRDefault="00AF3167" w:rsidP="00025662">
      <w:pPr>
        <w:spacing w:after="0" w:line="240" w:lineRule="auto"/>
      </w:pPr>
      <w:r>
        <w:separator/>
      </w:r>
    </w:p>
  </w:endnote>
  <w:endnote w:type="continuationSeparator" w:id="0">
    <w:p w:rsidR="00AF3167" w:rsidRDefault="00AF3167" w:rsidP="0002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479151"/>
      <w:docPartObj>
        <w:docPartGallery w:val="Page Numbers (Bottom of Page)"/>
        <w:docPartUnique/>
      </w:docPartObj>
    </w:sdtPr>
    <w:sdtEndPr>
      <w:rPr>
        <w:noProof/>
      </w:rPr>
    </w:sdtEndPr>
    <w:sdtContent>
      <w:p w:rsidR="00C06012" w:rsidRDefault="00C06012" w:rsidP="00EA175D">
        <w:pPr>
          <w:pStyle w:val="Footer"/>
          <w:jc w:val="right"/>
        </w:pPr>
        <w:r>
          <w:fldChar w:fldCharType="begin"/>
        </w:r>
        <w:r>
          <w:instrText xml:space="preserve"> PAGE   \* MERGEFORMAT </w:instrText>
        </w:r>
        <w:r>
          <w:fldChar w:fldCharType="separate"/>
        </w:r>
        <w:r w:rsidR="006101B7">
          <w:rPr>
            <w:noProof/>
          </w:rPr>
          <w:t>1</w:t>
        </w:r>
        <w:r>
          <w:rPr>
            <w:noProof/>
          </w:rPr>
          <w:fldChar w:fldCharType="end"/>
        </w:r>
      </w:p>
    </w:sdtContent>
  </w:sdt>
  <w:p w:rsidR="00275C04" w:rsidRDefault="0027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167" w:rsidRDefault="00AF3167" w:rsidP="00025662">
      <w:pPr>
        <w:spacing w:after="0" w:line="240" w:lineRule="auto"/>
      </w:pPr>
      <w:r>
        <w:separator/>
      </w:r>
    </w:p>
  </w:footnote>
  <w:footnote w:type="continuationSeparator" w:id="0">
    <w:p w:rsidR="00AF3167" w:rsidRDefault="00AF3167" w:rsidP="00025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62" w:rsidRDefault="00025662">
    <w:pPr>
      <w:pStyle w:val="Header"/>
    </w:pPr>
    <w:r>
      <w:ptab w:relativeTo="margin" w:alignment="center" w:leader="none"/>
    </w:r>
    <w:r>
      <w:rPr>
        <w:noProof/>
      </w:rPr>
      <w:drawing>
        <wp:inline distT="0" distB="0" distL="0" distR="0" wp14:anchorId="0E6EE0AE" wp14:editId="4EAE3D8A">
          <wp:extent cx="2533650" cy="6174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_HOR.jpg"/>
                  <pic:cNvPicPr/>
                </pic:nvPicPr>
                <pic:blipFill>
                  <a:blip r:embed="rId1">
                    <a:extLst>
                      <a:ext uri="{28A0092B-C50C-407E-A947-70E740481C1C}">
                        <a14:useLocalDpi xmlns:a14="http://schemas.microsoft.com/office/drawing/2010/main" val="0"/>
                      </a:ext>
                    </a:extLst>
                  </a:blip>
                  <a:stretch>
                    <a:fillRect/>
                  </a:stretch>
                </pic:blipFill>
                <pic:spPr>
                  <a:xfrm>
                    <a:off x="0" y="0"/>
                    <a:ext cx="2534761" cy="617713"/>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62"/>
    <w:rsid w:val="00013D70"/>
    <w:rsid w:val="00014680"/>
    <w:rsid w:val="00015B2D"/>
    <w:rsid w:val="0002334C"/>
    <w:rsid w:val="00025662"/>
    <w:rsid w:val="00031E2E"/>
    <w:rsid w:val="00034224"/>
    <w:rsid w:val="00043543"/>
    <w:rsid w:val="00047412"/>
    <w:rsid w:val="0005026D"/>
    <w:rsid w:val="000573B9"/>
    <w:rsid w:val="00057ED5"/>
    <w:rsid w:val="000658F2"/>
    <w:rsid w:val="00066A98"/>
    <w:rsid w:val="00076772"/>
    <w:rsid w:val="00082E55"/>
    <w:rsid w:val="00083CA7"/>
    <w:rsid w:val="000A25F8"/>
    <w:rsid w:val="000B29FA"/>
    <w:rsid w:val="000B693A"/>
    <w:rsid w:val="000B78B4"/>
    <w:rsid w:val="000C1D8F"/>
    <w:rsid w:val="000C2A07"/>
    <w:rsid w:val="000C6F0B"/>
    <w:rsid w:val="000D735B"/>
    <w:rsid w:val="000E25DD"/>
    <w:rsid w:val="000E7E46"/>
    <w:rsid w:val="000F08CC"/>
    <w:rsid w:val="00130669"/>
    <w:rsid w:val="001364EC"/>
    <w:rsid w:val="001374EE"/>
    <w:rsid w:val="00142528"/>
    <w:rsid w:val="00142F2F"/>
    <w:rsid w:val="00155E52"/>
    <w:rsid w:val="00157414"/>
    <w:rsid w:val="00175169"/>
    <w:rsid w:val="0018234D"/>
    <w:rsid w:val="001828A1"/>
    <w:rsid w:val="001853CE"/>
    <w:rsid w:val="00186744"/>
    <w:rsid w:val="00194B9C"/>
    <w:rsid w:val="001B0442"/>
    <w:rsid w:val="001B0C27"/>
    <w:rsid w:val="001C5262"/>
    <w:rsid w:val="001D18FD"/>
    <w:rsid w:val="001E665D"/>
    <w:rsid w:val="001E6EAB"/>
    <w:rsid w:val="001F2426"/>
    <w:rsid w:val="00202CF4"/>
    <w:rsid w:val="00216803"/>
    <w:rsid w:val="002224A4"/>
    <w:rsid w:val="0025591F"/>
    <w:rsid w:val="00275C04"/>
    <w:rsid w:val="00276DC5"/>
    <w:rsid w:val="002837F5"/>
    <w:rsid w:val="00283841"/>
    <w:rsid w:val="002A46BC"/>
    <w:rsid w:val="002B0EA6"/>
    <w:rsid w:val="002B37AF"/>
    <w:rsid w:val="002C22E3"/>
    <w:rsid w:val="002C4198"/>
    <w:rsid w:val="002C5BCE"/>
    <w:rsid w:val="002C695D"/>
    <w:rsid w:val="002E7FD9"/>
    <w:rsid w:val="002F5A31"/>
    <w:rsid w:val="003065FB"/>
    <w:rsid w:val="00314C70"/>
    <w:rsid w:val="00315CE9"/>
    <w:rsid w:val="00321F64"/>
    <w:rsid w:val="00323CDB"/>
    <w:rsid w:val="00334BC4"/>
    <w:rsid w:val="00354E1C"/>
    <w:rsid w:val="00357729"/>
    <w:rsid w:val="00360DAA"/>
    <w:rsid w:val="003708E4"/>
    <w:rsid w:val="00371750"/>
    <w:rsid w:val="00381FD1"/>
    <w:rsid w:val="00385EB3"/>
    <w:rsid w:val="00391F5C"/>
    <w:rsid w:val="00396263"/>
    <w:rsid w:val="003A3069"/>
    <w:rsid w:val="003A6257"/>
    <w:rsid w:val="003C3040"/>
    <w:rsid w:val="003C7DC9"/>
    <w:rsid w:val="003D12AE"/>
    <w:rsid w:val="003E6F70"/>
    <w:rsid w:val="003F571B"/>
    <w:rsid w:val="004008C1"/>
    <w:rsid w:val="0041077E"/>
    <w:rsid w:val="00414654"/>
    <w:rsid w:val="004340E9"/>
    <w:rsid w:val="00456FDD"/>
    <w:rsid w:val="00462DF2"/>
    <w:rsid w:val="0046684C"/>
    <w:rsid w:val="00493C5B"/>
    <w:rsid w:val="00495AD9"/>
    <w:rsid w:val="0049618E"/>
    <w:rsid w:val="00497622"/>
    <w:rsid w:val="004A0BB3"/>
    <w:rsid w:val="004A430F"/>
    <w:rsid w:val="004C3FA7"/>
    <w:rsid w:val="004D41FA"/>
    <w:rsid w:val="004D6F09"/>
    <w:rsid w:val="004D7207"/>
    <w:rsid w:val="004E2829"/>
    <w:rsid w:val="004E63CF"/>
    <w:rsid w:val="00516D4F"/>
    <w:rsid w:val="00526B55"/>
    <w:rsid w:val="00550700"/>
    <w:rsid w:val="005517FB"/>
    <w:rsid w:val="005572E9"/>
    <w:rsid w:val="005775E0"/>
    <w:rsid w:val="005930EF"/>
    <w:rsid w:val="005B032F"/>
    <w:rsid w:val="005B1D76"/>
    <w:rsid w:val="005C7FEB"/>
    <w:rsid w:val="005D23B3"/>
    <w:rsid w:val="005D2811"/>
    <w:rsid w:val="005E5EBF"/>
    <w:rsid w:val="005E6D1A"/>
    <w:rsid w:val="006101B7"/>
    <w:rsid w:val="00610B9A"/>
    <w:rsid w:val="0061481C"/>
    <w:rsid w:val="00615F6B"/>
    <w:rsid w:val="00620319"/>
    <w:rsid w:val="00633578"/>
    <w:rsid w:val="006341B2"/>
    <w:rsid w:val="006362C0"/>
    <w:rsid w:val="006425AA"/>
    <w:rsid w:val="006453D6"/>
    <w:rsid w:val="00646AD2"/>
    <w:rsid w:val="00660905"/>
    <w:rsid w:val="006671B5"/>
    <w:rsid w:val="00673045"/>
    <w:rsid w:val="0069150C"/>
    <w:rsid w:val="006A1451"/>
    <w:rsid w:val="006A3546"/>
    <w:rsid w:val="006A62AD"/>
    <w:rsid w:val="006C20B2"/>
    <w:rsid w:val="006E6E4B"/>
    <w:rsid w:val="006F33A1"/>
    <w:rsid w:val="00700028"/>
    <w:rsid w:val="0070082B"/>
    <w:rsid w:val="00701385"/>
    <w:rsid w:val="0070484B"/>
    <w:rsid w:val="00706374"/>
    <w:rsid w:val="007234EE"/>
    <w:rsid w:val="00724CE9"/>
    <w:rsid w:val="00742678"/>
    <w:rsid w:val="0075340E"/>
    <w:rsid w:val="007543E7"/>
    <w:rsid w:val="00760050"/>
    <w:rsid w:val="00763194"/>
    <w:rsid w:val="007777B1"/>
    <w:rsid w:val="0078443A"/>
    <w:rsid w:val="007B262E"/>
    <w:rsid w:val="007D4981"/>
    <w:rsid w:val="007D5001"/>
    <w:rsid w:val="007E152D"/>
    <w:rsid w:val="007E45ED"/>
    <w:rsid w:val="007F0D03"/>
    <w:rsid w:val="007F0FC6"/>
    <w:rsid w:val="0081308A"/>
    <w:rsid w:val="00813B59"/>
    <w:rsid w:val="00817790"/>
    <w:rsid w:val="008229E2"/>
    <w:rsid w:val="00822E46"/>
    <w:rsid w:val="00841BAD"/>
    <w:rsid w:val="008449BF"/>
    <w:rsid w:val="008722A8"/>
    <w:rsid w:val="00885A9C"/>
    <w:rsid w:val="00886931"/>
    <w:rsid w:val="00895D09"/>
    <w:rsid w:val="0089639F"/>
    <w:rsid w:val="008B27FF"/>
    <w:rsid w:val="008B2CF4"/>
    <w:rsid w:val="008B53A5"/>
    <w:rsid w:val="008B55BD"/>
    <w:rsid w:val="008B5F46"/>
    <w:rsid w:val="008F630F"/>
    <w:rsid w:val="008F792C"/>
    <w:rsid w:val="00916A44"/>
    <w:rsid w:val="00924074"/>
    <w:rsid w:val="00925262"/>
    <w:rsid w:val="0095568A"/>
    <w:rsid w:val="00964B23"/>
    <w:rsid w:val="009705BF"/>
    <w:rsid w:val="009716B2"/>
    <w:rsid w:val="00972DA6"/>
    <w:rsid w:val="00980AF8"/>
    <w:rsid w:val="00991D1B"/>
    <w:rsid w:val="00993434"/>
    <w:rsid w:val="009A4515"/>
    <w:rsid w:val="009B250F"/>
    <w:rsid w:val="009B71EB"/>
    <w:rsid w:val="009C3630"/>
    <w:rsid w:val="009D0E61"/>
    <w:rsid w:val="009D41E4"/>
    <w:rsid w:val="009F7735"/>
    <w:rsid w:val="00A0015B"/>
    <w:rsid w:val="00A04B5E"/>
    <w:rsid w:val="00A076B3"/>
    <w:rsid w:val="00A07F6B"/>
    <w:rsid w:val="00A1616F"/>
    <w:rsid w:val="00A16B78"/>
    <w:rsid w:val="00A232F5"/>
    <w:rsid w:val="00A26C71"/>
    <w:rsid w:val="00A271D0"/>
    <w:rsid w:val="00A27DF3"/>
    <w:rsid w:val="00A30378"/>
    <w:rsid w:val="00A342FC"/>
    <w:rsid w:val="00A57547"/>
    <w:rsid w:val="00A65E4F"/>
    <w:rsid w:val="00A82479"/>
    <w:rsid w:val="00A859CC"/>
    <w:rsid w:val="00A977C3"/>
    <w:rsid w:val="00AB49AE"/>
    <w:rsid w:val="00AC0858"/>
    <w:rsid w:val="00AC3B21"/>
    <w:rsid w:val="00AD09F4"/>
    <w:rsid w:val="00AD200F"/>
    <w:rsid w:val="00AE0272"/>
    <w:rsid w:val="00AE4202"/>
    <w:rsid w:val="00AF3167"/>
    <w:rsid w:val="00AF5A82"/>
    <w:rsid w:val="00B011A1"/>
    <w:rsid w:val="00B019E5"/>
    <w:rsid w:val="00B01D7E"/>
    <w:rsid w:val="00B104B6"/>
    <w:rsid w:val="00B126FB"/>
    <w:rsid w:val="00B34C45"/>
    <w:rsid w:val="00B35674"/>
    <w:rsid w:val="00B41ACB"/>
    <w:rsid w:val="00B53D1A"/>
    <w:rsid w:val="00B54709"/>
    <w:rsid w:val="00B54D04"/>
    <w:rsid w:val="00B67B29"/>
    <w:rsid w:val="00B756AB"/>
    <w:rsid w:val="00B85614"/>
    <w:rsid w:val="00B87699"/>
    <w:rsid w:val="00BA01E6"/>
    <w:rsid w:val="00BA25D2"/>
    <w:rsid w:val="00BA37C0"/>
    <w:rsid w:val="00BA7F57"/>
    <w:rsid w:val="00BB26D4"/>
    <w:rsid w:val="00BB344F"/>
    <w:rsid w:val="00BC34B4"/>
    <w:rsid w:val="00BD5C34"/>
    <w:rsid w:val="00BF2772"/>
    <w:rsid w:val="00BF710E"/>
    <w:rsid w:val="00BF7917"/>
    <w:rsid w:val="00C01BB0"/>
    <w:rsid w:val="00C05E08"/>
    <w:rsid w:val="00C06012"/>
    <w:rsid w:val="00C133F9"/>
    <w:rsid w:val="00C17AEA"/>
    <w:rsid w:val="00C203F0"/>
    <w:rsid w:val="00C43A6C"/>
    <w:rsid w:val="00C503A5"/>
    <w:rsid w:val="00C54524"/>
    <w:rsid w:val="00C64874"/>
    <w:rsid w:val="00C84F4B"/>
    <w:rsid w:val="00C90067"/>
    <w:rsid w:val="00C958AA"/>
    <w:rsid w:val="00CA1C58"/>
    <w:rsid w:val="00CA2574"/>
    <w:rsid w:val="00CB0AB7"/>
    <w:rsid w:val="00CC3215"/>
    <w:rsid w:val="00CC5576"/>
    <w:rsid w:val="00CC7A0A"/>
    <w:rsid w:val="00CD562E"/>
    <w:rsid w:val="00CD6CFF"/>
    <w:rsid w:val="00CE059A"/>
    <w:rsid w:val="00CE1E79"/>
    <w:rsid w:val="00D003AE"/>
    <w:rsid w:val="00D030C9"/>
    <w:rsid w:val="00D035F8"/>
    <w:rsid w:val="00D1344E"/>
    <w:rsid w:val="00D14A92"/>
    <w:rsid w:val="00D16470"/>
    <w:rsid w:val="00D535F4"/>
    <w:rsid w:val="00D54EBC"/>
    <w:rsid w:val="00D739D1"/>
    <w:rsid w:val="00D73F88"/>
    <w:rsid w:val="00D74C75"/>
    <w:rsid w:val="00D75E29"/>
    <w:rsid w:val="00DA33D5"/>
    <w:rsid w:val="00DB3988"/>
    <w:rsid w:val="00DB4188"/>
    <w:rsid w:val="00DB57AF"/>
    <w:rsid w:val="00DC4614"/>
    <w:rsid w:val="00DD4914"/>
    <w:rsid w:val="00DD6A2D"/>
    <w:rsid w:val="00DE6387"/>
    <w:rsid w:val="00DF1DB0"/>
    <w:rsid w:val="00E0787C"/>
    <w:rsid w:val="00E21AE2"/>
    <w:rsid w:val="00E31FAC"/>
    <w:rsid w:val="00E52213"/>
    <w:rsid w:val="00E61551"/>
    <w:rsid w:val="00E94BBA"/>
    <w:rsid w:val="00E966CF"/>
    <w:rsid w:val="00EA175D"/>
    <w:rsid w:val="00EA5E62"/>
    <w:rsid w:val="00EA6225"/>
    <w:rsid w:val="00EB1B38"/>
    <w:rsid w:val="00ED3245"/>
    <w:rsid w:val="00ED5BAB"/>
    <w:rsid w:val="00EF1D62"/>
    <w:rsid w:val="00F03D69"/>
    <w:rsid w:val="00F04BD4"/>
    <w:rsid w:val="00F17997"/>
    <w:rsid w:val="00F252CF"/>
    <w:rsid w:val="00F47FCD"/>
    <w:rsid w:val="00F86D6D"/>
    <w:rsid w:val="00F97098"/>
    <w:rsid w:val="00FA1B33"/>
    <w:rsid w:val="00FC1E7C"/>
    <w:rsid w:val="00FD45C7"/>
    <w:rsid w:val="00FE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3F96BE-A68A-43B2-AFE9-178A6C2C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61"/>
  </w:style>
  <w:style w:type="paragraph" w:styleId="Heading1">
    <w:name w:val="heading 1"/>
    <w:basedOn w:val="Normal"/>
    <w:next w:val="Normal"/>
    <w:link w:val="Heading1Char"/>
    <w:uiPriority w:val="9"/>
    <w:qFormat/>
    <w:rsid w:val="001E665D"/>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A27DF3"/>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321F64"/>
    <w:pPr>
      <w:keepNext/>
      <w:keepLines/>
      <w:spacing w:before="200" w:after="0"/>
      <w:outlineLvl w:val="2"/>
    </w:pPr>
    <w:rPr>
      <w:rFonts w:asciiTheme="majorHAnsi" w:eastAsiaTheme="majorEastAsia" w:hAnsiTheme="majorHAnsi" w:cstheme="majorBidi"/>
      <w:b/>
      <w:b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662"/>
  </w:style>
  <w:style w:type="paragraph" w:styleId="Footer">
    <w:name w:val="footer"/>
    <w:basedOn w:val="Normal"/>
    <w:link w:val="FooterChar"/>
    <w:uiPriority w:val="99"/>
    <w:unhideWhenUsed/>
    <w:rsid w:val="00025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662"/>
  </w:style>
  <w:style w:type="paragraph" w:styleId="BalloonText">
    <w:name w:val="Balloon Text"/>
    <w:basedOn w:val="Normal"/>
    <w:link w:val="BalloonTextChar"/>
    <w:uiPriority w:val="99"/>
    <w:semiHidden/>
    <w:unhideWhenUsed/>
    <w:rsid w:val="0002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62"/>
    <w:rPr>
      <w:rFonts w:ascii="Tahoma" w:hAnsi="Tahoma" w:cs="Tahoma"/>
      <w:sz w:val="16"/>
      <w:szCs w:val="16"/>
    </w:rPr>
  </w:style>
  <w:style w:type="character" w:styleId="Hyperlink">
    <w:name w:val="Hyperlink"/>
    <w:basedOn w:val="DefaultParagraphFont"/>
    <w:uiPriority w:val="99"/>
    <w:semiHidden/>
    <w:unhideWhenUsed/>
    <w:rsid w:val="00A0015B"/>
    <w:rPr>
      <w:color w:val="0000FF"/>
      <w:u w:val="single"/>
    </w:rPr>
  </w:style>
  <w:style w:type="character" w:customStyle="1" w:styleId="apple-converted-space">
    <w:name w:val="apple-converted-space"/>
    <w:basedOn w:val="DefaultParagraphFont"/>
    <w:rsid w:val="00A0015B"/>
  </w:style>
  <w:style w:type="paragraph" w:styleId="FootnoteText">
    <w:name w:val="footnote text"/>
    <w:basedOn w:val="Normal"/>
    <w:link w:val="FootnoteTextChar"/>
    <w:uiPriority w:val="99"/>
    <w:unhideWhenUsed/>
    <w:rsid w:val="008B2CF4"/>
    <w:pPr>
      <w:spacing w:after="0" w:line="240" w:lineRule="auto"/>
    </w:pPr>
    <w:rPr>
      <w:sz w:val="20"/>
      <w:szCs w:val="20"/>
    </w:rPr>
  </w:style>
  <w:style w:type="character" w:customStyle="1" w:styleId="FootnoteTextChar">
    <w:name w:val="Footnote Text Char"/>
    <w:basedOn w:val="DefaultParagraphFont"/>
    <w:link w:val="FootnoteText"/>
    <w:uiPriority w:val="99"/>
    <w:rsid w:val="008B2CF4"/>
    <w:rPr>
      <w:sz w:val="20"/>
      <w:szCs w:val="20"/>
    </w:rPr>
  </w:style>
  <w:style w:type="character" w:styleId="FootnoteReference">
    <w:name w:val="footnote reference"/>
    <w:basedOn w:val="DefaultParagraphFont"/>
    <w:uiPriority w:val="99"/>
    <w:semiHidden/>
    <w:unhideWhenUsed/>
    <w:rsid w:val="008B2CF4"/>
    <w:rPr>
      <w:vertAlign w:val="superscript"/>
    </w:rPr>
  </w:style>
  <w:style w:type="character" w:customStyle="1" w:styleId="Heading1Char">
    <w:name w:val="Heading 1 Char"/>
    <w:basedOn w:val="DefaultParagraphFont"/>
    <w:link w:val="Heading1"/>
    <w:uiPriority w:val="9"/>
    <w:rsid w:val="001E665D"/>
    <w:rPr>
      <w:rFonts w:asciiTheme="majorHAnsi" w:eastAsiaTheme="majorEastAsia" w:hAnsiTheme="majorHAnsi" w:cstheme="majorBidi"/>
      <w:b/>
      <w:bCs/>
      <w:color w:val="42558C" w:themeColor="accent1" w:themeShade="BF"/>
      <w:sz w:val="28"/>
      <w:szCs w:val="28"/>
    </w:rPr>
  </w:style>
  <w:style w:type="paragraph" w:styleId="NoSpacing">
    <w:name w:val="No Spacing"/>
    <w:uiPriority w:val="1"/>
    <w:qFormat/>
    <w:rsid w:val="001E665D"/>
    <w:pPr>
      <w:spacing w:after="0" w:line="240" w:lineRule="auto"/>
    </w:pPr>
  </w:style>
  <w:style w:type="table" w:styleId="MediumShading1-Accent3">
    <w:name w:val="Medium Shading 1 Accent 3"/>
    <w:basedOn w:val="TableNormal"/>
    <w:uiPriority w:val="63"/>
    <w:rsid w:val="001E665D"/>
    <w:pPr>
      <w:spacing w:after="0" w:line="240" w:lineRule="auto"/>
    </w:pPr>
    <w:tblPr>
      <w:tblStyleRowBandSize w:val="1"/>
      <w:tblStyleColBandSize w:val="1"/>
      <w:tblBorders>
        <w:top w:val="single" w:sz="8" w:space="0" w:color="ECA259" w:themeColor="accent3" w:themeTint="BF"/>
        <w:left w:val="single" w:sz="8" w:space="0" w:color="ECA259" w:themeColor="accent3" w:themeTint="BF"/>
        <w:bottom w:val="single" w:sz="8" w:space="0" w:color="ECA259" w:themeColor="accent3" w:themeTint="BF"/>
        <w:right w:val="single" w:sz="8" w:space="0" w:color="ECA259" w:themeColor="accent3" w:themeTint="BF"/>
        <w:insideH w:val="single" w:sz="8" w:space="0" w:color="ECA259" w:themeColor="accent3" w:themeTint="BF"/>
      </w:tblBorders>
    </w:tblPr>
    <w:tblStylePr w:type="firstRow">
      <w:pPr>
        <w:spacing w:before="0" w:after="0" w:line="240" w:lineRule="auto"/>
      </w:pPr>
      <w:rPr>
        <w:b/>
        <w:bCs/>
        <w:color w:val="FFFFFF" w:themeColor="background1"/>
      </w:rPr>
      <w:tblPr/>
      <w:tcPr>
        <w:tcBorders>
          <w:top w:val="single" w:sz="8" w:space="0" w:color="ECA259" w:themeColor="accent3" w:themeTint="BF"/>
          <w:left w:val="single" w:sz="8" w:space="0" w:color="ECA259" w:themeColor="accent3" w:themeTint="BF"/>
          <w:bottom w:val="single" w:sz="8" w:space="0" w:color="ECA259" w:themeColor="accent3" w:themeTint="BF"/>
          <w:right w:val="single" w:sz="8" w:space="0" w:color="ECA259" w:themeColor="accent3" w:themeTint="BF"/>
          <w:insideH w:val="nil"/>
          <w:insideV w:val="nil"/>
        </w:tcBorders>
        <w:shd w:val="clear" w:color="auto" w:fill="E68422" w:themeFill="accent3"/>
      </w:tcPr>
    </w:tblStylePr>
    <w:tblStylePr w:type="lastRow">
      <w:pPr>
        <w:spacing w:before="0" w:after="0" w:line="240" w:lineRule="auto"/>
      </w:pPr>
      <w:rPr>
        <w:b/>
        <w:bCs/>
      </w:rPr>
      <w:tblPr/>
      <w:tcPr>
        <w:tcBorders>
          <w:top w:val="double" w:sz="6" w:space="0" w:color="ECA259" w:themeColor="accent3" w:themeTint="BF"/>
          <w:left w:val="single" w:sz="8" w:space="0" w:color="ECA259" w:themeColor="accent3" w:themeTint="BF"/>
          <w:bottom w:val="single" w:sz="8" w:space="0" w:color="ECA259" w:themeColor="accent3" w:themeTint="BF"/>
          <w:right w:val="single" w:sz="8" w:space="0" w:color="ECA25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0C8" w:themeFill="accent3" w:themeFillTint="3F"/>
      </w:tcPr>
    </w:tblStylePr>
    <w:tblStylePr w:type="band1Horz">
      <w:tblPr/>
      <w:tcPr>
        <w:tcBorders>
          <w:insideH w:val="nil"/>
          <w:insideV w:val="nil"/>
        </w:tcBorders>
        <w:shd w:val="clear" w:color="auto" w:fill="F8E0C8" w:themeFill="accent3"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1E665D"/>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1E665D"/>
    <w:rPr>
      <w:rFonts w:asciiTheme="majorHAnsi" w:eastAsiaTheme="majorEastAsia" w:hAnsiTheme="majorHAnsi" w:cstheme="majorBidi"/>
      <w:color w:val="234170" w:themeColor="text2" w:themeShade="BF"/>
      <w:spacing w:val="5"/>
      <w:kern w:val="28"/>
      <w:sz w:val="52"/>
      <w:szCs w:val="52"/>
    </w:rPr>
  </w:style>
  <w:style w:type="paragraph" w:styleId="Subtitle">
    <w:name w:val="Subtitle"/>
    <w:basedOn w:val="Normal"/>
    <w:next w:val="Normal"/>
    <w:link w:val="SubtitleChar"/>
    <w:uiPriority w:val="11"/>
    <w:qFormat/>
    <w:rsid w:val="001E665D"/>
    <w:pPr>
      <w:numPr>
        <w:ilvl w:val="1"/>
      </w:numPr>
    </w:pPr>
    <w:rPr>
      <w:rFonts w:asciiTheme="majorHAnsi" w:eastAsiaTheme="majorEastAsia" w:hAnsiTheme="majorHAnsi" w:cstheme="majorBidi"/>
      <w:i/>
      <w:iCs/>
      <w:color w:val="6076B4" w:themeColor="accent1"/>
      <w:spacing w:val="15"/>
    </w:rPr>
  </w:style>
  <w:style w:type="character" w:customStyle="1" w:styleId="SubtitleChar">
    <w:name w:val="Subtitle Char"/>
    <w:basedOn w:val="DefaultParagraphFont"/>
    <w:link w:val="Subtitle"/>
    <w:uiPriority w:val="11"/>
    <w:rsid w:val="001E665D"/>
    <w:rPr>
      <w:rFonts w:asciiTheme="majorHAnsi" w:eastAsiaTheme="majorEastAsia" w:hAnsiTheme="majorHAnsi" w:cstheme="majorBidi"/>
      <w:i/>
      <w:iCs/>
      <w:color w:val="6076B4" w:themeColor="accent1"/>
      <w:spacing w:val="15"/>
      <w:sz w:val="24"/>
      <w:szCs w:val="24"/>
    </w:rPr>
  </w:style>
  <w:style w:type="character" w:customStyle="1" w:styleId="Heading3Char">
    <w:name w:val="Heading 3 Char"/>
    <w:basedOn w:val="DefaultParagraphFont"/>
    <w:link w:val="Heading3"/>
    <w:uiPriority w:val="9"/>
    <w:semiHidden/>
    <w:rsid w:val="00321F64"/>
    <w:rPr>
      <w:rFonts w:asciiTheme="majorHAnsi" w:eastAsiaTheme="majorEastAsia" w:hAnsiTheme="majorHAnsi" w:cstheme="majorBidi"/>
      <w:b/>
      <w:bCs/>
      <w:color w:val="6076B4" w:themeColor="accent1"/>
    </w:rPr>
  </w:style>
  <w:style w:type="character" w:styleId="Emphasis">
    <w:name w:val="Emphasis"/>
    <w:basedOn w:val="DefaultParagraphFont"/>
    <w:uiPriority w:val="20"/>
    <w:qFormat/>
    <w:rsid w:val="005C7FEB"/>
    <w:rPr>
      <w:i/>
      <w:iCs/>
    </w:rPr>
  </w:style>
  <w:style w:type="table" w:styleId="TableGrid">
    <w:name w:val="Table Grid"/>
    <w:basedOn w:val="TableNormal"/>
    <w:uiPriority w:val="59"/>
    <w:rsid w:val="00DD6A2D"/>
    <w:pPr>
      <w:spacing w:after="0" w:line="240" w:lineRule="auto"/>
    </w:pPr>
    <w:rPr>
      <w:rFonts w:cs="Times New Roman"/>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B41ACB"/>
    <w:pPr>
      <w:spacing w:after="0" w:line="240" w:lineRule="auto"/>
    </w:pPr>
    <w:rPr>
      <w:rFonts w:asciiTheme="minorHAnsi" w:eastAsiaTheme="minorEastAsia"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B41ACB"/>
    <w:pPr>
      <w:tabs>
        <w:tab w:val="decimal" w:pos="360"/>
      </w:tabs>
    </w:pPr>
    <w:rPr>
      <w:rFonts w:asciiTheme="minorHAnsi" w:hAnsiTheme="minorHAnsi"/>
      <w:sz w:val="22"/>
      <w:szCs w:val="22"/>
      <w:lang w:eastAsia="ja-JP"/>
    </w:rPr>
  </w:style>
  <w:style w:type="character" w:styleId="SubtleEmphasis">
    <w:name w:val="Subtle Emphasis"/>
    <w:basedOn w:val="DefaultParagraphFont"/>
    <w:uiPriority w:val="19"/>
    <w:qFormat/>
    <w:rsid w:val="00B41ACB"/>
    <w:rPr>
      <w:i/>
      <w:iCs/>
      <w:color w:val="7F7F7F" w:themeColor="text1" w:themeTint="80"/>
    </w:rPr>
  </w:style>
  <w:style w:type="table" w:styleId="LightShading-Accent1">
    <w:name w:val="Light Shading Accent 1"/>
    <w:basedOn w:val="TableNormal"/>
    <w:uiPriority w:val="60"/>
    <w:rsid w:val="00B41ACB"/>
    <w:pPr>
      <w:spacing w:after="0" w:line="240" w:lineRule="auto"/>
    </w:pPr>
    <w:rPr>
      <w:rFonts w:asciiTheme="minorHAnsi" w:eastAsiaTheme="minorEastAsia" w:hAnsiTheme="minorHAnsi"/>
      <w:color w:val="42558C" w:themeColor="accent1" w:themeShade="BF"/>
      <w:sz w:val="22"/>
      <w:szCs w:val="22"/>
      <w:lang w:eastAsia="ja-JP"/>
    </w:rPr>
    <w:tblPr>
      <w:tblStyleRowBandSize w:val="1"/>
      <w:tblStyleColBandSize w:val="1"/>
      <w:tblBorders>
        <w:top w:val="single" w:sz="8" w:space="0" w:color="6076B4" w:themeColor="accent1"/>
        <w:bottom w:val="single" w:sz="8" w:space="0" w:color="6076B4" w:themeColor="accent1"/>
      </w:tblBorders>
    </w:tblPr>
    <w:tblStylePr w:type="firstRow">
      <w:pPr>
        <w:spacing w:before="0" w:after="0" w:line="240" w:lineRule="auto"/>
      </w:pPr>
      <w:rPr>
        <w:b/>
        <w:bCs/>
        <w:color w:val="42558C" w:themeColor="accent1" w:themeShade="BF"/>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color w:val="42558C" w:themeColor="accent1" w:themeShade="BF"/>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color w:val="42558C" w:themeColor="accent1" w:themeShade="BF"/>
      </w:rPr>
    </w:tblStylePr>
    <w:tblStylePr w:type="lastCol">
      <w:rPr>
        <w:b/>
        <w:bCs/>
        <w:color w:val="42558C" w:themeColor="accent1" w:themeShade="BF"/>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character" w:styleId="CommentReference">
    <w:name w:val="annotation reference"/>
    <w:basedOn w:val="DefaultParagraphFont"/>
    <w:uiPriority w:val="99"/>
    <w:semiHidden/>
    <w:unhideWhenUsed/>
    <w:rsid w:val="001B0442"/>
    <w:rPr>
      <w:sz w:val="16"/>
      <w:szCs w:val="16"/>
    </w:rPr>
  </w:style>
  <w:style w:type="paragraph" w:styleId="CommentText">
    <w:name w:val="annotation text"/>
    <w:basedOn w:val="Normal"/>
    <w:link w:val="CommentTextChar"/>
    <w:uiPriority w:val="99"/>
    <w:semiHidden/>
    <w:unhideWhenUsed/>
    <w:rsid w:val="001B0442"/>
    <w:pPr>
      <w:spacing w:line="240" w:lineRule="auto"/>
    </w:pPr>
    <w:rPr>
      <w:sz w:val="20"/>
      <w:szCs w:val="20"/>
    </w:rPr>
  </w:style>
  <w:style w:type="character" w:customStyle="1" w:styleId="CommentTextChar">
    <w:name w:val="Comment Text Char"/>
    <w:basedOn w:val="DefaultParagraphFont"/>
    <w:link w:val="CommentText"/>
    <w:uiPriority w:val="99"/>
    <w:semiHidden/>
    <w:rsid w:val="001B0442"/>
    <w:rPr>
      <w:sz w:val="20"/>
      <w:szCs w:val="20"/>
    </w:rPr>
  </w:style>
  <w:style w:type="paragraph" w:styleId="CommentSubject">
    <w:name w:val="annotation subject"/>
    <w:basedOn w:val="CommentText"/>
    <w:next w:val="CommentText"/>
    <w:link w:val="CommentSubjectChar"/>
    <w:uiPriority w:val="99"/>
    <w:semiHidden/>
    <w:unhideWhenUsed/>
    <w:rsid w:val="001B0442"/>
    <w:rPr>
      <w:b/>
      <w:bCs/>
    </w:rPr>
  </w:style>
  <w:style w:type="character" w:customStyle="1" w:styleId="CommentSubjectChar">
    <w:name w:val="Comment Subject Char"/>
    <w:basedOn w:val="CommentTextChar"/>
    <w:link w:val="CommentSubject"/>
    <w:uiPriority w:val="99"/>
    <w:semiHidden/>
    <w:rsid w:val="001B0442"/>
    <w:rPr>
      <w:b/>
      <w:bCs/>
      <w:sz w:val="20"/>
      <w:szCs w:val="20"/>
    </w:rPr>
  </w:style>
  <w:style w:type="character" w:customStyle="1" w:styleId="Heading2Char">
    <w:name w:val="Heading 2 Char"/>
    <w:basedOn w:val="DefaultParagraphFont"/>
    <w:link w:val="Heading2"/>
    <w:uiPriority w:val="9"/>
    <w:rsid w:val="00A27DF3"/>
    <w:rPr>
      <w:rFonts w:asciiTheme="majorHAnsi" w:eastAsiaTheme="majorEastAsia" w:hAnsiTheme="majorHAnsi" w:cstheme="majorBidi"/>
      <w:b/>
      <w:bCs/>
      <w:color w:val="6076B4" w:themeColor="accent1"/>
      <w:sz w:val="26"/>
      <w:szCs w:val="26"/>
    </w:rPr>
  </w:style>
  <w:style w:type="paragraph" w:styleId="Quote">
    <w:name w:val="Quote"/>
    <w:basedOn w:val="Normal"/>
    <w:next w:val="Normal"/>
    <w:link w:val="QuoteChar"/>
    <w:uiPriority w:val="29"/>
    <w:qFormat/>
    <w:rsid w:val="00A27DF3"/>
    <w:rPr>
      <w:i/>
      <w:iCs/>
      <w:color w:val="000000" w:themeColor="text1"/>
    </w:rPr>
  </w:style>
  <w:style w:type="character" w:customStyle="1" w:styleId="QuoteChar">
    <w:name w:val="Quote Char"/>
    <w:basedOn w:val="DefaultParagraphFont"/>
    <w:link w:val="Quote"/>
    <w:uiPriority w:val="29"/>
    <w:rsid w:val="00A27DF3"/>
    <w:rPr>
      <w:i/>
      <w:iCs/>
      <w:color w:val="000000" w:themeColor="text1"/>
    </w:rPr>
  </w:style>
  <w:style w:type="paragraph" w:styleId="NormalWeb">
    <w:name w:val="Normal (Web)"/>
    <w:basedOn w:val="Normal"/>
    <w:uiPriority w:val="99"/>
    <w:semiHidden/>
    <w:unhideWhenUsed/>
    <w:rsid w:val="00673045"/>
    <w:pPr>
      <w:spacing w:before="100" w:beforeAutospacing="1" w:after="100" w:afterAutospacing="1"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277">
      <w:bodyDiv w:val="1"/>
      <w:marLeft w:val="0"/>
      <w:marRight w:val="0"/>
      <w:marTop w:val="0"/>
      <w:marBottom w:val="0"/>
      <w:divBdr>
        <w:top w:val="none" w:sz="0" w:space="0" w:color="auto"/>
        <w:left w:val="none" w:sz="0" w:space="0" w:color="auto"/>
        <w:bottom w:val="none" w:sz="0" w:space="0" w:color="auto"/>
        <w:right w:val="none" w:sz="0" w:space="0" w:color="auto"/>
      </w:divBdr>
    </w:div>
    <w:div w:id="129522297">
      <w:bodyDiv w:val="1"/>
      <w:marLeft w:val="0"/>
      <w:marRight w:val="0"/>
      <w:marTop w:val="0"/>
      <w:marBottom w:val="0"/>
      <w:divBdr>
        <w:top w:val="none" w:sz="0" w:space="0" w:color="auto"/>
        <w:left w:val="none" w:sz="0" w:space="0" w:color="auto"/>
        <w:bottom w:val="none" w:sz="0" w:space="0" w:color="auto"/>
        <w:right w:val="none" w:sz="0" w:space="0" w:color="auto"/>
      </w:divBdr>
    </w:div>
    <w:div w:id="159856789">
      <w:bodyDiv w:val="1"/>
      <w:marLeft w:val="0"/>
      <w:marRight w:val="0"/>
      <w:marTop w:val="0"/>
      <w:marBottom w:val="0"/>
      <w:divBdr>
        <w:top w:val="none" w:sz="0" w:space="0" w:color="auto"/>
        <w:left w:val="none" w:sz="0" w:space="0" w:color="auto"/>
        <w:bottom w:val="none" w:sz="0" w:space="0" w:color="auto"/>
        <w:right w:val="none" w:sz="0" w:space="0" w:color="auto"/>
      </w:divBdr>
    </w:div>
    <w:div w:id="308553574">
      <w:bodyDiv w:val="1"/>
      <w:marLeft w:val="0"/>
      <w:marRight w:val="0"/>
      <w:marTop w:val="0"/>
      <w:marBottom w:val="0"/>
      <w:divBdr>
        <w:top w:val="none" w:sz="0" w:space="0" w:color="auto"/>
        <w:left w:val="none" w:sz="0" w:space="0" w:color="auto"/>
        <w:bottom w:val="none" w:sz="0" w:space="0" w:color="auto"/>
        <w:right w:val="none" w:sz="0" w:space="0" w:color="auto"/>
      </w:divBdr>
    </w:div>
    <w:div w:id="439688626">
      <w:bodyDiv w:val="1"/>
      <w:marLeft w:val="0"/>
      <w:marRight w:val="0"/>
      <w:marTop w:val="0"/>
      <w:marBottom w:val="0"/>
      <w:divBdr>
        <w:top w:val="none" w:sz="0" w:space="0" w:color="auto"/>
        <w:left w:val="none" w:sz="0" w:space="0" w:color="auto"/>
        <w:bottom w:val="none" w:sz="0" w:space="0" w:color="auto"/>
        <w:right w:val="none" w:sz="0" w:space="0" w:color="auto"/>
      </w:divBdr>
    </w:div>
    <w:div w:id="455292027">
      <w:bodyDiv w:val="1"/>
      <w:marLeft w:val="0"/>
      <w:marRight w:val="0"/>
      <w:marTop w:val="0"/>
      <w:marBottom w:val="0"/>
      <w:divBdr>
        <w:top w:val="none" w:sz="0" w:space="0" w:color="auto"/>
        <w:left w:val="none" w:sz="0" w:space="0" w:color="auto"/>
        <w:bottom w:val="none" w:sz="0" w:space="0" w:color="auto"/>
        <w:right w:val="none" w:sz="0" w:space="0" w:color="auto"/>
      </w:divBdr>
    </w:div>
    <w:div w:id="455829813">
      <w:bodyDiv w:val="1"/>
      <w:marLeft w:val="0"/>
      <w:marRight w:val="0"/>
      <w:marTop w:val="0"/>
      <w:marBottom w:val="0"/>
      <w:divBdr>
        <w:top w:val="none" w:sz="0" w:space="0" w:color="auto"/>
        <w:left w:val="none" w:sz="0" w:space="0" w:color="auto"/>
        <w:bottom w:val="none" w:sz="0" w:space="0" w:color="auto"/>
        <w:right w:val="none" w:sz="0" w:space="0" w:color="auto"/>
      </w:divBdr>
    </w:div>
    <w:div w:id="516623346">
      <w:bodyDiv w:val="1"/>
      <w:marLeft w:val="0"/>
      <w:marRight w:val="0"/>
      <w:marTop w:val="0"/>
      <w:marBottom w:val="0"/>
      <w:divBdr>
        <w:top w:val="none" w:sz="0" w:space="0" w:color="auto"/>
        <w:left w:val="none" w:sz="0" w:space="0" w:color="auto"/>
        <w:bottom w:val="none" w:sz="0" w:space="0" w:color="auto"/>
        <w:right w:val="none" w:sz="0" w:space="0" w:color="auto"/>
      </w:divBdr>
    </w:div>
    <w:div w:id="614335175">
      <w:bodyDiv w:val="1"/>
      <w:marLeft w:val="0"/>
      <w:marRight w:val="0"/>
      <w:marTop w:val="0"/>
      <w:marBottom w:val="0"/>
      <w:divBdr>
        <w:top w:val="none" w:sz="0" w:space="0" w:color="auto"/>
        <w:left w:val="none" w:sz="0" w:space="0" w:color="auto"/>
        <w:bottom w:val="none" w:sz="0" w:space="0" w:color="auto"/>
        <w:right w:val="none" w:sz="0" w:space="0" w:color="auto"/>
      </w:divBdr>
    </w:div>
    <w:div w:id="756942335">
      <w:bodyDiv w:val="1"/>
      <w:marLeft w:val="0"/>
      <w:marRight w:val="0"/>
      <w:marTop w:val="0"/>
      <w:marBottom w:val="0"/>
      <w:divBdr>
        <w:top w:val="none" w:sz="0" w:space="0" w:color="auto"/>
        <w:left w:val="none" w:sz="0" w:space="0" w:color="auto"/>
        <w:bottom w:val="none" w:sz="0" w:space="0" w:color="auto"/>
        <w:right w:val="none" w:sz="0" w:space="0" w:color="auto"/>
      </w:divBdr>
    </w:div>
    <w:div w:id="787696517">
      <w:bodyDiv w:val="1"/>
      <w:marLeft w:val="0"/>
      <w:marRight w:val="0"/>
      <w:marTop w:val="0"/>
      <w:marBottom w:val="0"/>
      <w:divBdr>
        <w:top w:val="none" w:sz="0" w:space="0" w:color="auto"/>
        <w:left w:val="none" w:sz="0" w:space="0" w:color="auto"/>
        <w:bottom w:val="none" w:sz="0" w:space="0" w:color="auto"/>
        <w:right w:val="none" w:sz="0" w:space="0" w:color="auto"/>
      </w:divBdr>
    </w:div>
    <w:div w:id="851065164">
      <w:bodyDiv w:val="1"/>
      <w:marLeft w:val="0"/>
      <w:marRight w:val="0"/>
      <w:marTop w:val="0"/>
      <w:marBottom w:val="0"/>
      <w:divBdr>
        <w:top w:val="none" w:sz="0" w:space="0" w:color="auto"/>
        <w:left w:val="none" w:sz="0" w:space="0" w:color="auto"/>
        <w:bottom w:val="none" w:sz="0" w:space="0" w:color="auto"/>
        <w:right w:val="none" w:sz="0" w:space="0" w:color="auto"/>
      </w:divBdr>
    </w:div>
    <w:div w:id="860507718">
      <w:bodyDiv w:val="1"/>
      <w:marLeft w:val="0"/>
      <w:marRight w:val="0"/>
      <w:marTop w:val="0"/>
      <w:marBottom w:val="0"/>
      <w:divBdr>
        <w:top w:val="none" w:sz="0" w:space="0" w:color="auto"/>
        <w:left w:val="none" w:sz="0" w:space="0" w:color="auto"/>
        <w:bottom w:val="none" w:sz="0" w:space="0" w:color="auto"/>
        <w:right w:val="none" w:sz="0" w:space="0" w:color="auto"/>
      </w:divBdr>
    </w:div>
    <w:div w:id="962928645">
      <w:bodyDiv w:val="1"/>
      <w:marLeft w:val="0"/>
      <w:marRight w:val="0"/>
      <w:marTop w:val="0"/>
      <w:marBottom w:val="0"/>
      <w:divBdr>
        <w:top w:val="none" w:sz="0" w:space="0" w:color="auto"/>
        <w:left w:val="none" w:sz="0" w:space="0" w:color="auto"/>
        <w:bottom w:val="none" w:sz="0" w:space="0" w:color="auto"/>
        <w:right w:val="none" w:sz="0" w:space="0" w:color="auto"/>
      </w:divBdr>
    </w:div>
    <w:div w:id="981232497">
      <w:bodyDiv w:val="1"/>
      <w:marLeft w:val="0"/>
      <w:marRight w:val="0"/>
      <w:marTop w:val="0"/>
      <w:marBottom w:val="0"/>
      <w:divBdr>
        <w:top w:val="none" w:sz="0" w:space="0" w:color="auto"/>
        <w:left w:val="none" w:sz="0" w:space="0" w:color="auto"/>
        <w:bottom w:val="none" w:sz="0" w:space="0" w:color="auto"/>
        <w:right w:val="none" w:sz="0" w:space="0" w:color="auto"/>
      </w:divBdr>
    </w:div>
    <w:div w:id="1060321721">
      <w:bodyDiv w:val="1"/>
      <w:marLeft w:val="0"/>
      <w:marRight w:val="0"/>
      <w:marTop w:val="0"/>
      <w:marBottom w:val="0"/>
      <w:divBdr>
        <w:top w:val="none" w:sz="0" w:space="0" w:color="auto"/>
        <w:left w:val="none" w:sz="0" w:space="0" w:color="auto"/>
        <w:bottom w:val="none" w:sz="0" w:space="0" w:color="auto"/>
        <w:right w:val="none" w:sz="0" w:space="0" w:color="auto"/>
      </w:divBdr>
    </w:div>
    <w:div w:id="1082676408">
      <w:bodyDiv w:val="1"/>
      <w:marLeft w:val="0"/>
      <w:marRight w:val="0"/>
      <w:marTop w:val="0"/>
      <w:marBottom w:val="0"/>
      <w:divBdr>
        <w:top w:val="none" w:sz="0" w:space="0" w:color="auto"/>
        <w:left w:val="none" w:sz="0" w:space="0" w:color="auto"/>
        <w:bottom w:val="none" w:sz="0" w:space="0" w:color="auto"/>
        <w:right w:val="none" w:sz="0" w:space="0" w:color="auto"/>
      </w:divBdr>
    </w:div>
    <w:div w:id="1090547528">
      <w:bodyDiv w:val="1"/>
      <w:marLeft w:val="0"/>
      <w:marRight w:val="0"/>
      <w:marTop w:val="0"/>
      <w:marBottom w:val="0"/>
      <w:divBdr>
        <w:top w:val="none" w:sz="0" w:space="0" w:color="auto"/>
        <w:left w:val="none" w:sz="0" w:space="0" w:color="auto"/>
        <w:bottom w:val="none" w:sz="0" w:space="0" w:color="auto"/>
        <w:right w:val="none" w:sz="0" w:space="0" w:color="auto"/>
      </w:divBdr>
    </w:div>
    <w:div w:id="1092553536">
      <w:bodyDiv w:val="1"/>
      <w:marLeft w:val="0"/>
      <w:marRight w:val="0"/>
      <w:marTop w:val="0"/>
      <w:marBottom w:val="0"/>
      <w:divBdr>
        <w:top w:val="none" w:sz="0" w:space="0" w:color="auto"/>
        <w:left w:val="none" w:sz="0" w:space="0" w:color="auto"/>
        <w:bottom w:val="none" w:sz="0" w:space="0" w:color="auto"/>
        <w:right w:val="none" w:sz="0" w:space="0" w:color="auto"/>
      </w:divBdr>
    </w:div>
    <w:div w:id="1194727109">
      <w:bodyDiv w:val="1"/>
      <w:marLeft w:val="0"/>
      <w:marRight w:val="0"/>
      <w:marTop w:val="0"/>
      <w:marBottom w:val="0"/>
      <w:divBdr>
        <w:top w:val="none" w:sz="0" w:space="0" w:color="auto"/>
        <w:left w:val="none" w:sz="0" w:space="0" w:color="auto"/>
        <w:bottom w:val="none" w:sz="0" w:space="0" w:color="auto"/>
        <w:right w:val="none" w:sz="0" w:space="0" w:color="auto"/>
      </w:divBdr>
    </w:div>
    <w:div w:id="1322733517">
      <w:bodyDiv w:val="1"/>
      <w:marLeft w:val="0"/>
      <w:marRight w:val="0"/>
      <w:marTop w:val="0"/>
      <w:marBottom w:val="0"/>
      <w:divBdr>
        <w:top w:val="none" w:sz="0" w:space="0" w:color="auto"/>
        <w:left w:val="none" w:sz="0" w:space="0" w:color="auto"/>
        <w:bottom w:val="none" w:sz="0" w:space="0" w:color="auto"/>
        <w:right w:val="none" w:sz="0" w:space="0" w:color="auto"/>
      </w:divBdr>
    </w:div>
    <w:div w:id="1353386280">
      <w:bodyDiv w:val="1"/>
      <w:marLeft w:val="0"/>
      <w:marRight w:val="0"/>
      <w:marTop w:val="0"/>
      <w:marBottom w:val="0"/>
      <w:divBdr>
        <w:top w:val="none" w:sz="0" w:space="0" w:color="auto"/>
        <w:left w:val="none" w:sz="0" w:space="0" w:color="auto"/>
        <w:bottom w:val="none" w:sz="0" w:space="0" w:color="auto"/>
        <w:right w:val="none" w:sz="0" w:space="0" w:color="auto"/>
      </w:divBdr>
    </w:div>
    <w:div w:id="1461147403">
      <w:bodyDiv w:val="1"/>
      <w:marLeft w:val="0"/>
      <w:marRight w:val="0"/>
      <w:marTop w:val="0"/>
      <w:marBottom w:val="0"/>
      <w:divBdr>
        <w:top w:val="none" w:sz="0" w:space="0" w:color="auto"/>
        <w:left w:val="none" w:sz="0" w:space="0" w:color="auto"/>
        <w:bottom w:val="none" w:sz="0" w:space="0" w:color="auto"/>
        <w:right w:val="none" w:sz="0" w:space="0" w:color="auto"/>
      </w:divBdr>
    </w:div>
    <w:div w:id="1547136176">
      <w:bodyDiv w:val="1"/>
      <w:marLeft w:val="0"/>
      <w:marRight w:val="0"/>
      <w:marTop w:val="0"/>
      <w:marBottom w:val="0"/>
      <w:divBdr>
        <w:top w:val="none" w:sz="0" w:space="0" w:color="auto"/>
        <w:left w:val="none" w:sz="0" w:space="0" w:color="auto"/>
        <w:bottom w:val="none" w:sz="0" w:space="0" w:color="auto"/>
        <w:right w:val="none" w:sz="0" w:space="0" w:color="auto"/>
      </w:divBdr>
    </w:div>
    <w:div w:id="1617524897">
      <w:bodyDiv w:val="1"/>
      <w:marLeft w:val="0"/>
      <w:marRight w:val="0"/>
      <w:marTop w:val="0"/>
      <w:marBottom w:val="0"/>
      <w:divBdr>
        <w:top w:val="none" w:sz="0" w:space="0" w:color="auto"/>
        <w:left w:val="none" w:sz="0" w:space="0" w:color="auto"/>
        <w:bottom w:val="none" w:sz="0" w:space="0" w:color="auto"/>
        <w:right w:val="none" w:sz="0" w:space="0" w:color="auto"/>
      </w:divBdr>
    </w:div>
    <w:div w:id="1687825413">
      <w:bodyDiv w:val="1"/>
      <w:marLeft w:val="0"/>
      <w:marRight w:val="0"/>
      <w:marTop w:val="0"/>
      <w:marBottom w:val="0"/>
      <w:divBdr>
        <w:top w:val="none" w:sz="0" w:space="0" w:color="auto"/>
        <w:left w:val="none" w:sz="0" w:space="0" w:color="auto"/>
        <w:bottom w:val="none" w:sz="0" w:space="0" w:color="auto"/>
        <w:right w:val="none" w:sz="0" w:space="0" w:color="auto"/>
      </w:divBdr>
    </w:div>
    <w:div w:id="1691561049">
      <w:bodyDiv w:val="1"/>
      <w:marLeft w:val="0"/>
      <w:marRight w:val="0"/>
      <w:marTop w:val="0"/>
      <w:marBottom w:val="0"/>
      <w:divBdr>
        <w:top w:val="none" w:sz="0" w:space="0" w:color="auto"/>
        <w:left w:val="none" w:sz="0" w:space="0" w:color="auto"/>
        <w:bottom w:val="none" w:sz="0" w:space="0" w:color="auto"/>
        <w:right w:val="none" w:sz="0" w:space="0" w:color="auto"/>
      </w:divBdr>
    </w:div>
    <w:div w:id="1706980427">
      <w:bodyDiv w:val="1"/>
      <w:marLeft w:val="0"/>
      <w:marRight w:val="0"/>
      <w:marTop w:val="0"/>
      <w:marBottom w:val="0"/>
      <w:divBdr>
        <w:top w:val="none" w:sz="0" w:space="0" w:color="auto"/>
        <w:left w:val="none" w:sz="0" w:space="0" w:color="auto"/>
        <w:bottom w:val="none" w:sz="0" w:space="0" w:color="auto"/>
        <w:right w:val="none" w:sz="0" w:space="0" w:color="auto"/>
      </w:divBdr>
    </w:div>
    <w:div w:id="1707756149">
      <w:bodyDiv w:val="1"/>
      <w:marLeft w:val="0"/>
      <w:marRight w:val="0"/>
      <w:marTop w:val="0"/>
      <w:marBottom w:val="0"/>
      <w:divBdr>
        <w:top w:val="none" w:sz="0" w:space="0" w:color="auto"/>
        <w:left w:val="none" w:sz="0" w:space="0" w:color="auto"/>
        <w:bottom w:val="none" w:sz="0" w:space="0" w:color="auto"/>
        <w:right w:val="none" w:sz="0" w:space="0" w:color="auto"/>
      </w:divBdr>
    </w:div>
    <w:div w:id="1785803045">
      <w:bodyDiv w:val="1"/>
      <w:marLeft w:val="0"/>
      <w:marRight w:val="0"/>
      <w:marTop w:val="0"/>
      <w:marBottom w:val="0"/>
      <w:divBdr>
        <w:top w:val="none" w:sz="0" w:space="0" w:color="auto"/>
        <w:left w:val="none" w:sz="0" w:space="0" w:color="auto"/>
        <w:bottom w:val="none" w:sz="0" w:space="0" w:color="auto"/>
        <w:right w:val="none" w:sz="0" w:space="0" w:color="auto"/>
      </w:divBdr>
    </w:div>
    <w:div w:id="1789542194">
      <w:bodyDiv w:val="1"/>
      <w:marLeft w:val="0"/>
      <w:marRight w:val="0"/>
      <w:marTop w:val="0"/>
      <w:marBottom w:val="0"/>
      <w:divBdr>
        <w:top w:val="none" w:sz="0" w:space="0" w:color="auto"/>
        <w:left w:val="none" w:sz="0" w:space="0" w:color="auto"/>
        <w:bottom w:val="none" w:sz="0" w:space="0" w:color="auto"/>
        <w:right w:val="none" w:sz="0" w:space="0" w:color="auto"/>
      </w:divBdr>
    </w:div>
    <w:div w:id="1806197083">
      <w:bodyDiv w:val="1"/>
      <w:marLeft w:val="0"/>
      <w:marRight w:val="0"/>
      <w:marTop w:val="0"/>
      <w:marBottom w:val="0"/>
      <w:divBdr>
        <w:top w:val="none" w:sz="0" w:space="0" w:color="auto"/>
        <w:left w:val="none" w:sz="0" w:space="0" w:color="auto"/>
        <w:bottom w:val="none" w:sz="0" w:space="0" w:color="auto"/>
        <w:right w:val="none" w:sz="0" w:space="0" w:color="auto"/>
      </w:divBdr>
    </w:div>
    <w:div w:id="1807310092">
      <w:bodyDiv w:val="1"/>
      <w:marLeft w:val="0"/>
      <w:marRight w:val="0"/>
      <w:marTop w:val="0"/>
      <w:marBottom w:val="0"/>
      <w:divBdr>
        <w:top w:val="none" w:sz="0" w:space="0" w:color="auto"/>
        <w:left w:val="none" w:sz="0" w:space="0" w:color="auto"/>
        <w:bottom w:val="none" w:sz="0" w:space="0" w:color="auto"/>
        <w:right w:val="none" w:sz="0" w:space="0" w:color="auto"/>
      </w:divBdr>
    </w:div>
    <w:div w:id="1853953625">
      <w:bodyDiv w:val="1"/>
      <w:marLeft w:val="0"/>
      <w:marRight w:val="0"/>
      <w:marTop w:val="0"/>
      <w:marBottom w:val="0"/>
      <w:divBdr>
        <w:top w:val="none" w:sz="0" w:space="0" w:color="auto"/>
        <w:left w:val="none" w:sz="0" w:space="0" w:color="auto"/>
        <w:bottom w:val="none" w:sz="0" w:space="0" w:color="auto"/>
        <w:right w:val="none" w:sz="0" w:space="0" w:color="auto"/>
      </w:divBdr>
    </w:div>
    <w:div w:id="1857885081">
      <w:bodyDiv w:val="1"/>
      <w:marLeft w:val="0"/>
      <w:marRight w:val="0"/>
      <w:marTop w:val="0"/>
      <w:marBottom w:val="0"/>
      <w:divBdr>
        <w:top w:val="none" w:sz="0" w:space="0" w:color="auto"/>
        <w:left w:val="none" w:sz="0" w:space="0" w:color="auto"/>
        <w:bottom w:val="none" w:sz="0" w:space="0" w:color="auto"/>
        <w:right w:val="none" w:sz="0" w:space="0" w:color="auto"/>
      </w:divBdr>
    </w:div>
    <w:div w:id="1875271587">
      <w:bodyDiv w:val="1"/>
      <w:marLeft w:val="0"/>
      <w:marRight w:val="0"/>
      <w:marTop w:val="0"/>
      <w:marBottom w:val="0"/>
      <w:divBdr>
        <w:top w:val="none" w:sz="0" w:space="0" w:color="auto"/>
        <w:left w:val="none" w:sz="0" w:space="0" w:color="auto"/>
        <w:bottom w:val="none" w:sz="0" w:space="0" w:color="auto"/>
        <w:right w:val="none" w:sz="0" w:space="0" w:color="auto"/>
      </w:divBdr>
    </w:div>
    <w:div w:id="1963073404">
      <w:bodyDiv w:val="1"/>
      <w:marLeft w:val="0"/>
      <w:marRight w:val="0"/>
      <w:marTop w:val="0"/>
      <w:marBottom w:val="0"/>
      <w:divBdr>
        <w:top w:val="none" w:sz="0" w:space="0" w:color="auto"/>
        <w:left w:val="none" w:sz="0" w:space="0" w:color="auto"/>
        <w:bottom w:val="none" w:sz="0" w:space="0" w:color="auto"/>
        <w:right w:val="none" w:sz="0" w:space="0" w:color="auto"/>
      </w:divBdr>
    </w:div>
    <w:div w:id="19898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mailto:michael.goss@chaffey.edu"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JungJung.Lee\Desktop\Graphs\Computer%20Programming%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ungJung.Lee\Desktop\Graphs\Computer%20Programming%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ungJung.Lee\Desktop\Graphs\Computer%20Programming%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w Cen MT" panose="020B06020201040206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Employer!$B$1:$B$10</c:f>
              <c:strCache>
                <c:ptCount val="10"/>
                <c:pt idx="0">
                  <c:v>Key Technology</c:v>
                </c:pt>
                <c:pt idx="1">
                  <c:v>Riverside Health Care</c:v>
                </c:pt>
                <c:pt idx="2">
                  <c:v>Big Lots Incorporated</c:v>
                </c:pt>
                <c:pt idx="3">
                  <c:v>Loma Linda University Health</c:v>
                </c:pt>
                <c:pt idx="4">
                  <c:v>Actionlink</c:v>
                </c:pt>
                <c:pt idx="5">
                  <c:v>University of California</c:v>
                </c:pt>
                <c:pt idx="6">
                  <c:v>Petco</c:v>
                </c:pt>
                <c:pt idx="7">
                  <c:v>Fiverr</c:v>
                </c:pt>
                <c:pt idx="8">
                  <c:v>Esri</c:v>
                </c:pt>
                <c:pt idx="9">
                  <c:v>UCLA</c:v>
                </c:pt>
              </c:strCache>
            </c:strRef>
          </c:cat>
          <c:val>
            <c:numRef>
              <c:f>Employer!$C$1:$C$10</c:f>
              <c:numCache>
                <c:formatCode>General</c:formatCode>
                <c:ptCount val="10"/>
                <c:pt idx="0">
                  <c:v>16</c:v>
                </c:pt>
                <c:pt idx="1">
                  <c:v>17</c:v>
                </c:pt>
                <c:pt idx="2">
                  <c:v>18</c:v>
                </c:pt>
                <c:pt idx="3">
                  <c:v>19</c:v>
                </c:pt>
                <c:pt idx="4">
                  <c:v>20</c:v>
                </c:pt>
                <c:pt idx="5">
                  <c:v>21</c:v>
                </c:pt>
                <c:pt idx="6">
                  <c:v>42</c:v>
                </c:pt>
                <c:pt idx="7">
                  <c:v>51</c:v>
                </c:pt>
                <c:pt idx="8">
                  <c:v>175</c:v>
                </c:pt>
                <c:pt idx="9">
                  <c:v>188</c:v>
                </c:pt>
              </c:numCache>
            </c:numRef>
          </c:val>
          <c:extLst>
            <c:ext xmlns:c16="http://schemas.microsoft.com/office/drawing/2014/chart" uri="{C3380CC4-5D6E-409C-BE32-E72D297353CC}">
              <c16:uniqueId val="{00000000-DB42-4989-8FA3-8C92757B05AD}"/>
            </c:ext>
          </c:extLst>
        </c:ser>
        <c:dLbls>
          <c:showLegendKey val="0"/>
          <c:showVal val="0"/>
          <c:showCatName val="0"/>
          <c:showSerName val="0"/>
          <c:showPercent val="0"/>
          <c:showBubbleSize val="0"/>
        </c:dLbls>
        <c:gapWidth val="150"/>
        <c:axId val="92943104"/>
        <c:axId val="92944640"/>
      </c:barChart>
      <c:catAx>
        <c:axId val="92943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w Cen MT" panose="020B0602020104020603" pitchFamily="34" charset="0"/>
                <a:ea typeface="+mn-ea"/>
                <a:cs typeface="+mn-cs"/>
              </a:defRPr>
            </a:pPr>
            <a:endParaRPr lang="en-US"/>
          </a:p>
        </c:txPr>
        <c:crossAx val="92944640"/>
        <c:crosses val="autoZero"/>
        <c:auto val="1"/>
        <c:lblAlgn val="ctr"/>
        <c:lblOffset val="100"/>
        <c:noMultiLvlLbl val="0"/>
      </c:catAx>
      <c:valAx>
        <c:axId val="92944640"/>
        <c:scaling>
          <c:orientation val="minMax"/>
        </c:scaling>
        <c:delete val="1"/>
        <c:axPos val="b"/>
        <c:numFmt formatCode="General" sourceLinked="1"/>
        <c:majorTickMark val="none"/>
        <c:minorTickMark val="none"/>
        <c:tickLblPos val="nextTo"/>
        <c:crossAx val="92943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w Cen MT" panose="020B06020201040206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Skills!$B$1:$B$10</c:f>
              <c:strCache>
                <c:ptCount val="10"/>
                <c:pt idx="0">
                  <c:v>SQL Server</c:v>
                </c:pt>
                <c:pt idx="1">
                  <c:v>ASP</c:v>
                </c:pt>
                <c:pt idx="2">
                  <c:v>JAVA</c:v>
                </c:pt>
                <c:pt idx="3">
                  <c:v>Project Management</c:v>
                </c:pt>
                <c:pt idx="4">
                  <c:v>Web Development</c:v>
                </c:pt>
                <c:pt idx="5">
                  <c:v>.NET Programming</c:v>
                </c:pt>
                <c:pt idx="6">
                  <c:v>Microsoft C#</c:v>
                </c:pt>
                <c:pt idx="7">
                  <c:v>Software Development</c:v>
                </c:pt>
                <c:pt idx="8">
                  <c:v>JavaScript</c:v>
                </c:pt>
                <c:pt idx="9">
                  <c:v>SQL</c:v>
                </c:pt>
              </c:strCache>
            </c:strRef>
          </c:cat>
          <c:val>
            <c:numRef>
              <c:f>Skills!$C$1:$C$10</c:f>
              <c:numCache>
                <c:formatCode>0.0%</c:formatCode>
                <c:ptCount val="10"/>
                <c:pt idx="0">
                  <c:v>0.14799999999999999</c:v>
                </c:pt>
                <c:pt idx="1">
                  <c:v>0.17100000000000001</c:v>
                </c:pt>
                <c:pt idx="2">
                  <c:v>0.17899999999999999</c:v>
                </c:pt>
                <c:pt idx="3">
                  <c:v>0.17899999999999999</c:v>
                </c:pt>
                <c:pt idx="4">
                  <c:v>0.20799999999999999</c:v>
                </c:pt>
                <c:pt idx="5">
                  <c:v>0.222</c:v>
                </c:pt>
                <c:pt idx="6">
                  <c:v>0.252</c:v>
                </c:pt>
                <c:pt idx="7">
                  <c:v>0.27300000000000002</c:v>
                </c:pt>
                <c:pt idx="8">
                  <c:v>0.318</c:v>
                </c:pt>
                <c:pt idx="9">
                  <c:v>0.34699999999999998</c:v>
                </c:pt>
              </c:numCache>
            </c:numRef>
          </c:val>
          <c:extLst>
            <c:ext xmlns:c16="http://schemas.microsoft.com/office/drawing/2014/chart" uri="{C3380CC4-5D6E-409C-BE32-E72D297353CC}">
              <c16:uniqueId val="{00000000-C4F7-4EBB-9B05-4CD9DC4E1612}"/>
            </c:ext>
          </c:extLst>
        </c:ser>
        <c:dLbls>
          <c:showLegendKey val="0"/>
          <c:showVal val="0"/>
          <c:showCatName val="0"/>
          <c:showSerName val="0"/>
          <c:showPercent val="0"/>
          <c:showBubbleSize val="0"/>
        </c:dLbls>
        <c:gapWidth val="150"/>
        <c:axId val="92952832"/>
        <c:axId val="92962816"/>
      </c:barChart>
      <c:catAx>
        <c:axId val="9295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w Cen MT" panose="020B0602020104020603" pitchFamily="34" charset="0"/>
                <a:ea typeface="+mn-ea"/>
                <a:cs typeface="+mn-cs"/>
              </a:defRPr>
            </a:pPr>
            <a:endParaRPr lang="en-US"/>
          </a:p>
        </c:txPr>
        <c:crossAx val="92962816"/>
        <c:crosses val="autoZero"/>
        <c:auto val="1"/>
        <c:lblAlgn val="ctr"/>
        <c:lblOffset val="100"/>
        <c:noMultiLvlLbl val="0"/>
      </c:catAx>
      <c:valAx>
        <c:axId val="92962816"/>
        <c:scaling>
          <c:orientation val="minMax"/>
        </c:scaling>
        <c:delete val="1"/>
        <c:axPos val="b"/>
        <c:numFmt formatCode="0.0%" sourceLinked="1"/>
        <c:majorTickMark val="none"/>
        <c:minorTickMark val="none"/>
        <c:tickLblPos val="nextTo"/>
        <c:crossAx val="92952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w Cen MT" panose="020B06020201040206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Education!$B$1:$B$4</c:f>
              <c:strCache>
                <c:ptCount val="4"/>
                <c:pt idx="0">
                  <c:v>Graduate or professional degree</c:v>
                </c:pt>
                <c:pt idx="1">
                  <c:v>Bachelor's degree</c:v>
                </c:pt>
                <c:pt idx="2">
                  <c:v>Associate's degree</c:v>
                </c:pt>
                <c:pt idx="3">
                  <c:v>High school or vocational training</c:v>
                </c:pt>
              </c:strCache>
            </c:strRef>
          </c:cat>
          <c:val>
            <c:numRef>
              <c:f>Education!$C$1:$C$4</c:f>
              <c:numCache>
                <c:formatCode>0.0%</c:formatCode>
                <c:ptCount val="4"/>
                <c:pt idx="0">
                  <c:v>1.7000000000000001E-2</c:v>
                </c:pt>
                <c:pt idx="1">
                  <c:v>0.77700000000000002</c:v>
                </c:pt>
                <c:pt idx="2">
                  <c:v>5.8000000000000003E-2</c:v>
                </c:pt>
                <c:pt idx="3">
                  <c:v>0.14799999999999999</c:v>
                </c:pt>
              </c:numCache>
            </c:numRef>
          </c:val>
          <c:extLst>
            <c:ext xmlns:c16="http://schemas.microsoft.com/office/drawing/2014/chart" uri="{C3380CC4-5D6E-409C-BE32-E72D297353CC}">
              <c16:uniqueId val="{00000000-0DD6-4FAE-904C-9CA6C8A878DC}"/>
            </c:ext>
          </c:extLst>
        </c:ser>
        <c:dLbls>
          <c:showLegendKey val="0"/>
          <c:showVal val="0"/>
          <c:showCatName val="0"/>
          <c:showSerName val="0"/>
          <c:showPercent val="0"/>
          <c:showBubbleSize val="0"/>
        </c:dLbls>
        <c:gapWidth val="150"/>
        <c:axId val="92979200"/>
        <c:axId val="92980736"/>
      </c:barChart>
      <c:catAx>
        <c:axId val="92979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w Cen MT" panose="020B0602020104020603" pitchFamily="34" charset="0"/>
                <a:ea typeface="+mn-ea"/>
                <a:cs typeface="+mn-cs"/>
              </a:defRPr>
            </a:pPr>
            <a:endParaRPr lang="en-US"/>
          </a:p>
        </c:txPr>
        <c:crossAx val="92980736"/>
        <c:crosses val="autoZero"/>
        <c:auto val="1"/>
        <c:lblAlgn val="ctr"/>
        <c:lblOffset val="100"/>
        <c:noMultiLvlLbl val="0"/>
      </c:catAx>
      <c:valAx>
        <c:axId val="92980736"/>
        <c:scaling>
          <c:orientation val="minMax"/>
        </c:scaling>
        <c:delete val="1"/>
        <c:axPos val="b"/>
        <c:numFmt formatCode="0.0%" sourceLinked="1"/>
        <c:majorTickMark val="none"/>
        <c:minorTickMark val="none"/>
        <c:tickLblPos val="nextTo"/>
        <c:crossAx val="92979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B2A814-21D2-45F5-90A6-BC10F6DBEA8E}" type="doc">
      <dgm:prSet loTypeId="urn:microsoft.com/office/officeart/2005/8/layout/equation1" loCatId="relationship" qsTypeId="urn:microsoft.com/office/officeart/2005/8/quickstyle/simple1" qsCatId="simple" csTypeId="urn:microsoft.com/office/officeart/2005/8/colors/colorful1" csCatId="colorful" phldr="1"/>
      <dgm:spPr/>
    </dgm:pt>
    <dgm:pt modelId="{DDC25430-50E8-47EB-B810-1B28E12C78D6}">
      <dgm:prSet phldrT="[Text]" custT="1"/>
      <dgm:spPr/>
      <dgm:t>
        <a:bodyPr/>
        <a:lstStyle/>
        <a:p>
          <a:r>
            <a:rPr lang="en-US" sz="1400">
              <a:latin typeface="Tw Cen MT" panose="020B0602020104020603" pitchFamily="34" charset="0"/>
            </a:rPr>
            <a:t>Annual Job Openings</a:t>
          </a:r>
        </a:p>
        <a:p>
          <a:r>
            <a:rPr lang="en-US" sz="1400" b="0">
              <a:latin typeface="Tw Cen MT" panose="020B0602020104020603" pitchFamily="34" charset="0"/>
            </a:rPr>
            <a:t>211</a:t>
          </a:r>
        </a:p>
      </dgm:t>
    </dgm:pt>
    <dgm:pt modelId="{73242B33-2089-4591-AE34-628EE929129E}" type="parTrans" cxnId="{1606D5CA-71B6-4AC8-A172-BA3A141C3F6E}">
      <dgm:prSet/>
      <dgm:spPr/>
      <dgm:t>
        <a:bodyPr/>
        <a:lstStyle/>
        <a:p>
          <a:endParaRPr lang="en-US" sz="1400">
            <a:latin typeface="Tw Cen MT" panose="020B0602020104020603" pitchFamily="34" charset="0"/>
          </a:endParaRPr>
        </a:p>
      </dgm:t>
    </dgm:pt>
    <dgm:pt modelId="{9611790F-DC21-47F4-8060-5570E855C91A}" type="sibTrans" cxnId="{1606D5CA-71B6-4AC8-A172-BA3A141C3F6E}">
      <dgm:prSet custT="1"/>
      <dgm:spPr/>
      <dgm:t>
        <a:bodyPr/>
        <a:lstStyle/>
        <a:p>
          <a:endParaRPr lang="en-US" sz="1400">
            <a:latin typeface="Tw Cen MT" panose="020B0602020104020603" pitchFamily="34" charset="0"/>
          </a:endParaRPr>
        </a:p>
      </dgm:t>
    </dgm:pt>
    <dgm:pt modelId="{42DDBDA0-DEF6-4BF7-93C1-C72EF628048E}">
      <dgm:prSet phldrT="[Text]" custT="1"/>
      <dgm:spPr/>
      <dgm:t>
        <a:bodyPr/>
        <a:lstStyle/>
        <a:p>
          <a:r>
            <a:rPr lang="en-US" sz="1400">
              <a:latin typeface="Tw Cen MT" panose="020B0602020104020603" pitchFamily="34" charset="0"/>
            </a:rPr>
            <a:t>Annual Average Total degrees and awards </a:t>
          </a:r>
        </a:p>
        <a:p>
          <a:r>
            <a:rPr lang="en-US" sz="1400">
              <a:latin typeface="Tw Cen MT" panose="020B0602020104020603" pitchFamily="34" charset="0"/>
            </a:rPr>
            <a:t>48</a:t>
          </a:r>
        </a:p>
      </dgm:t>
    </dgm:pt>
    <dgm:pt modelId="{1CA88263-D3E9-40B1-BACF-986D6A0BAC58}" type="parTrans" cxnId="{41FBF66C-72DD-4BC8-9637-F1701B99050E}">
      <dgm:prSet/>
      <dgm:spPr/>
      <dgm:t>
        <a:bodyPr/>
        <a:lstStyle/>
        <a:p>
          <a:endParaRPr lang="en-US" sz="1400">
            <a:latin typeface="Tw Cen MT" panose="020B0602020104020603" pitchFamily="34" charset="0"/>
          </a:endParaRPr>
        </a:p>
      </dgm:t>
    </dgm:pt>
    <dgm:pt modelId="{E448CC5B-8C29-41EC-867A-6956AA5E96A1}" type="sibTrans" cxnId="{41FBF66C-72DD-4BC8-9637-F1701B99050E}">
      <dgm:prSet custT="1"/>
      <dgm:spPr/>
      <dgm:t>
        <a:bodyPr/>
        <a:lstStyle/>
        <a:p>
          <a:endParaRPr lang="en-US" sz="1400">
            <a:latin typeface="Tw Cen MT" panose="020B0602020104020603" pitchFamily="34" charset="0"/>
          </a:endParaRPr>
        </a:p>
      </dgm:t>
    </dgm:pt>
    <dgm:pt modelId="{55B63851-F11F-49A8-AD28-EE638C229E6B}">
      <dgm:prSet phldrT="[Text]" custT="1"/>
      <dgm:spPr/>
      <dgm:t>
        <a:bodyPr/>
        <a:lstStyle/>
        <a:p>
          <a:r>
            <a:rPr lang="en-US" sz="1600" b="1">
              <a:latin typeface="Tw Cen MT" panose="020B0602020104020603" pitchFamily="34" charset="0"/>
            </a:rPr>
            <a:t>Training gap </a:t>
          </a:r>
        </a:p>
        <a:p>
          <a:r>
            <a:rPr lang="en-US" sz="1600" b="1">
              <a:latin typeface="Tw Cen MT" panose="020B0602020104020603" pitchFamily="34" charset="0"/>
            </a:rPr>
            <a:t>163</a:t>
          </a:r>
        </a:p>
      </dgm:t>
    </dgm:pt>
    <dgm:pt modelId="{91CA5798-759B-4901-8F7F-B4ACA7C291A8}" type="parTrans" cxnId="{54FF58D6-E34D-4661-8E96-3022289D0A44}">
      <dgm:prSet/>
      <dgm:spPr/>
      <dgm:t>
        <a:bodyPr/>
        <a:lstStyle/>
        <a:p>
          <a:endParaRPr lang="en-US" sz="1400">
            <a:latin typeface="Tw Cen MT" panose="020B0602020104020603" pitchFamily="34" charset="0"/>
          </a:endParaRPr>
        </a:p>
      </dgm:t>
    </dgm:pt>
    <dgm:pt modelId="{9C18B76D-EFC2-483F-B5D0-C30308F9CAA2}" type="sibTrans" cxnId="{54FF58D6-E34D-4661-8E96-3022289D0A44}">
      <dgm:prSet/>
      <dgm:spPr/>
      <dgm:t>
        <a:bodyPr/>
        <a:lstStyle/>
        <a:p>
          <a:endParaRPr lang="en-US" sz="1400">
            <a:latin typeface="Tw Cen MT" panose="020B0602020104020603" pitchFamily="34" charset="0"/>
          </a:endParaRPr>
        </a:p>
      </dgm:t>
    </dgm:pt>
    <dgm:pt modelId="{31B8F5B1-512B-491A-8876-DD3B1EB3BE8A}" type="pres">
      <dgm:prSet presAssocID="{77B2A814-21D2-45F5-90A6-BC10F6DBEA8E}" presName="linearFlow" presStyleCnt="0">
        <dgm:presLayoutVars>
          <dgm:dir/>
          <dgm:resizeHandles val="exact"/>
        </dgm:presLayoutVars>
      </dgm:prSet>
      <dgm:spPr/>
    </dgm:pt>
    <dgm:pt modelId="{170D6257-C8CC-4FDB-9AE0-2CFF8C2805ED}" type="pres">
      <dgm:prSet presAssocID="{DDC25430-50E8-47EB-B810-1B28E12C78D6}" presName="node" presStyleLbl="node1" presStyleIdx="0" presStyleCnt="3">
        <dgm:presLayoutVars>
          <dgm:bulletEnabled val="1"/>
        </dgm:presLayoutVars>
      </dgm:prSet>
      <dgm:spPr/>
      <dgm:t>
        <a:bodyPr/>
        <a:lstStyle/>
        <a:p>
          <a:endParaRPr lang="en-US"/>
        </a:p>
      </dgm:t>
    </dgm:pt>
    <dgm:pt modelId="{6BD08E3A-7EFB-4779-9BFF-7CF4243FA3B5}" type="pres">
      <dgm:prSet presAssocID="{9611790F-DC21-47F4-8060-5570E855C91A}" presName="spacerL" presStyleCnt="0"/>
      <dgm:spPr/>
    </dgm:pt>
    <dgm:pt modelId="{24D2C322-CE66-4988-90B8-57F062A32B3D}" type="pres">
      <dgm:prSet presAssocID="{9611790F-DC21-47F4-8060-5570E855C91A}" presName="sibTrans" presStyleLbl="sibTrans2D1" presStyleIdx="0" presStyleCnt="2"/>
      <dgm:spPr>
        <a:prstGeom prst="mathMinus">
          <a:avLst/>
        </a:prstGeom>
      </dgm:spPr>
      <dgm:t>
        <a:bodyPr/>
        <a:lstStyle/>
        <a:p>
          <a:endParaRPr lang="en-US"/>
        </a:p>
      </dgm:t>
    </dgm:pt>
    <dgm:pt modelId="{D7A817FA-BBCC-4564-8BE1-E07C26B35015}" type="pres">
      <dgm:prSet presAssocID="{9611790F-DC21-47F4-8060-5570E855C91A}" presName="spacerR" presStyleCnt="0"/>
      <dgm:spPr/>
    </dgm:pt>
    <dgm:pt modelId="{075670A9-58AC-4A88-9AA5-954AF2245D30}" type="pres">
      <dgm:prSet presAssocID="{42DDBDA0-DEF6-4BF7-93C1-C72EF628048E}" presName="node" presStyleLbl="node1" presStyleIdx="1" presStyleCnt="3">
        <dgm:presLayoutVars>
          <dgm:bulletEnabled val="1"/>
        </dgm:presLayoutVars>
      </dgm:prSet>
      <dgm:spPr/>
      <dgm:t>
        <a:bodyPr/>
        <a:lstStyle/>
        <a:p>
          <a:endParaRPr lang="en-US"/>
        </a:p>
      </dgm:t>
    </dgm:pt>
    <dgm:pt modelId="{2C4FAC25-B380-4FB8-907D-83AD08DA67BB}" type="pres">
      <dgm:prSet presAssocID="{E448CC5B-8C29-41EC-867A-6956AA5E96A1}" presName="spacerL" presStyleCnt="0"/>
      <dgm:spPr/>
    </dgm:pt>
    <dgm:pt modelId="{1C6A263C-A31E-4237-BEEF-955DBF1CCC6C}" type="pres">
      <dgm:prSet presAssocID="{E448CC5B-8C29-41EC-867A-6956AA5E96A1}" presName="sibTrans" presStyleLbl="sibTrans2D1" presStyleIdx="1" presStyleCnt="2"/>
      <dgm:spPr/>
      <dgm:t>
        <a:bodyPr/>
        <a:lstStyle/>
        <a:p>
          <a:endParaRPr lang="en-US"/>
        </a:p>
      </dgm:t>
    </dgm:pt>
    <dgm:pt modelId="{DF7DD6E8-35CD-4EF0-9F4E-396E684418F3}" type="pres">
      <dgm:prSet presAssocID="{E448CC5B-8C29-41EC-867A-6956AA5E96A1}" presName="spacerR" presStyleCnt="0"/>
      <dgm:spPr/>
    </dgm:pt>
    <dgm:pt modelId="{F898C52C-12C4-4365-9BE1-981268C0EAC3}" type="pres">
      <dgm:prSet presAssocID="{55B63851-F11F-49A8-AD28-EE638C229E6B}" presName="node" presStyleLbl="node1" presStyleIdx="2" presStyleCnt="3">
        <dgm:presLayoutVars>
          <dgm:bulletEnabled val="1"/>
        </dgm:presLayoutVars>
      </dgm:prSet>
      <dgm:spPr/>
      <dgm:t>
        <a:bodyPr/>
        <a:lstStyle/>
        <a:p>
          <a:endParaRPr lang="en-US"/>
        </a:p>
      </dgm:t>
    </dgm:pt>
  </dgm:ptLst>
  <dgm:cxnLst>
    <dgm:cxn modelId="{8EB9DEE4-69B8-4603-97F4-24192C3092C1}" type="presOf" srcId="{55B63851-F11F-49A8-AD28-EE638C229E6B}" destId="{F898C52C-12C4-4365-9BE1-981268C0EAC3}" srcOrd="0" destOrd="0" presId="urn:microsoft.com/office/officeart/2005/8/layout/equation1"/>
    <dgm:cxn modelId="{C8832633-984D-4709-BBAF-3E059EEC8E73}" type="presOf" srcId="{77B2A814-21D2-45F5-90A6-BC10F6DBEA8E}" destId="{31B8F5B1-512B-491A-8876-DD3B1EB3BE8A}" srcOrd="0" destOrd="0" presId="urn:microsoft.com/office/officeart/2005/8/layout/equation1"/>
    <dgm:cxn modelId="{1D3F1547-34D2-45A4-AEE9-51B1CA57211B}" type="presOf" srcId="{E448CC5B-8C29-41EC-867A-6956AA5E96A1}" destId="{1C6A263C-A31E-4237-BEEF-955DBF1CCC6C}" srcOrd="0" destOrd="0" presId="urn:microsoft.com/office/officeart/2005/8/layout/equation1"/>
    <dgm:cxn modelId="{FC268808-52B9-459B-B0BA-2A633405D21A}" type="presOf" srcId="{42DDBDA0-DEF6-4BF7-93C1-C72EF628048E}" destId="{075670A9-58AC-4A88-9AA5-954AF2245D30}" srcOrd="0" destOrd="0" presId="urn:microsoft.com/office/officeart/2005/8/layout/equation1"/>
    <dgm:cxn modelId="{41FBF66C-72DD-4BC8-9637-F1701B99050E}" srcId="{77B2A814-21D2-45F5-90A6-BC10F6DBEA8E}" destId="{42DDBDA0-DEF6-4BF7-93C1-C72EF628048E}" srcOrd="1" destOrd="0" parTransId="{1CA88263-D3E9-40B1-BACF-986D6A0BAC58}" sibTransId="{E448CC5B-8C29-41EC-867A-6956AA5E96A1}"/>
    <dgm:cxn modelId="{DC730CC3-D3A2-42DA-86E9-038A4CF81F41}" type="presOf" srcId="{9611790F-DC21-47F4-8060-5570E855C91A}" destId="{24D2C322-CE66-4988-90B8-57F062A32B3D}" srcOrd="0" destOrd="0" presId="urn:microsoft.com/office/officeart/2005/8/layout/equation1"/>
    <dgm:cxn modelId="{83FB1B82-517D-4B27-96CE-1E0AA9A7C406}" type="presOf" srcId="{DDC25430-50E8-47EB-B810-1B28E12C78D6}" destId="{170D6257-C8CC-4FDB-9AE0-2CFF8C2805ED}" srcOrd="0" destOrd="0" presId="urn:microsoft.com/office/officeart/2005/8/layout/equation1"/>
    <dgm:cxn modelId="{1606D5CA-71B6-4AC8-A172-BA3A141C3F6E}" srcId="{77B2A814-21D2-45F5-90A6-BC10F6DBEA8E}" destId="{DDC25430-50E8-47EB-B810-1B28E12C78D6}" srcOrd="0" destOrd="0" parTransId="{73242B33-2089-4591-AE34-628EE929129E}" sibTransId="{9611790F-DC21-47F4-8060-5570E855C91A}"/>
    <dgm:cxn modelId="{54FF58D6-E34D-4661-8E96-3022289D0A44}" srcId="{77B2A814-21D2-45F5-90A6-BC10F6DBEA8E}" destId="{55B63851-F11F-49A8-AD28-EE638C229E6B}" srcOrd="2" destOrd="0" parTransId="{91CA5798-759B-4901-8F7F-B4ACA7C291A8}" sibTransId="{9C18B76D-EFC2-483F-B5D0-C30308F9CAA2}"/>
    <dgm:cxn modelId="{E94F7FF2-13F9-4669-A20D-319C605B4A89}" type="presParOf" srcId="{31B8F5B1-512B-491A-8876-DD3B1EB3BE8A}" destId="{170D6257-C8CC-4FDB-9AE0-2CFF8C2805ED}" srcOrd="0" destOrd="0" presId="urn:microsoft.com/office/officeart/2005/8/layout/equation1"/>
    <dgm:cxn modelId="{2EAFE746-F45E-425C-BA7D-3D4EB5B26626}" type="presParOf" srcId="{31B8F5B1-512B-491A-8876-DD3B1EB3BE8A}" destId="{6BD08E3A-7EFB-4779-9BFF-7CF4243FA3B5}" srcOrd="1" destOrd="0" presId="urn:microsoft.com/office/officeart/2005/8/layout/equation1"/>
    <dgm:cxn modelId="{86A33143-B838-4CED-921D-C6DF741EC4FD}" type="presParOf" srcId="{31B8F5B1-512B-491A-8876-DD3B1EB3BE8A}" destId="{24D2C322-CE66-4988-90B8-57F062A32B3D}" srcOrd="2" destOrd="0" presId="urn:microsoft.com/office/officeart/2005/8/layout/equation1"/>
    <dgm:cxn modelId="{2F2C695C-A0D1-4905-88E6-B57BB0E4DC9B}" type="presParOf" srcId="{31B8F5B1-512B-491A-8876-DD3B1EB3BE8A}" destId="{D7A817FA-BBCC-4564-8BE1-E07C26B35015}" srcOrd="3" destOrd="0" presId="urn:microsoft.com/office/officeart/2005/8/layout/equation1"/>
    <dgm:cxn modelId="{DDCD127E-8542-4262-AFF4-FA15ADE39941}" type="presParOf" srcId="{31B8F5B1-512B-491A-8876-DD3B1EB3BE8A}" destId="{075670A9-58AC-4A88-9AA5-954AF2245D30}" srcOrd="4" destOrd="0" presId="urn:microsoft.com/office/officeart/2005/8/layout/equation1"/>
    <dgm:cxn modelId="{107D063B-F965-46E7-A918-0D6B8A9524F3}" type="presParOf" srcId="{31B8F5B1-512B-491A-8876-DD3B1EB3BE8A}" destId="{2C4FAC25-B380-4FB8-907D-83AD08DA67BB}" srcOrd="5" destOrd="0" presId="urn:microsoft.com/office/officeart/2005/8/layout/equation1"/>
    <dgm:cxn modelId="{085EFF30-CA93-4EC0-A2E2-13842B6A86C4}" type="presParOf" srcId="{31B8F5B1-512B-491A-8876-DD3B1EB3BE8A}" destId="{1C6A263C-A31E-4237-BEEF-955DBF1CCC6C}" srcOrd="6" destOrd="0" presId="urn:microsoft.com/office/officeart/2005/8/layout/equation1"/>
    <dgm:cxn modelId="{FE2D8A97-0204-49B5-901D-D7B05D273DF9}" type="presParOf" srcId="{31B8F5B1-512B-491A-8876-DD3B1EB3BE8A}" destId="{DF7DD6E8-35CD-4EF0-9F4E-396E684418F3}" srcOrd="7" destOrd="0" presId="urn:microsoft.com/office/officeart/2005/8/layout/equation1"/>
    <dgm:cxn modelId="{94ACA7C2-2F18-40E0-903A-3047F8B2A95E}" type="presParOf" srcId="{31B8F5B1-512B-491A-8876-DD3B1EB3BE8A}" destId="{F898C52C-12C4-4365-9BE1-981268C0EAC3}" srcOrd="8" destOrd="0" presId="urn:microsoft.com/office/officeart/2005/8/layout/equati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0D6257-C8CC-4FDB-9AE0-2CFF8C2805ED}">
      <dsp:nvSpPr>
        <dsp:cNvPr id="0" name=""/>
        <dsp:cNvSpPr/>
      </dsp:nvSpPr>
      <dsp:spPr>
        <a:xfrm>
          <a:off x="1036" y="132318"/>
          <a:ext cx="1373662" cy="1373662"/>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w Cen MT" panose="020B0602020104020603" pitchFamily="34" charset="0"/>
            </a:rPr>
            <a:t>Annual Job Openings</a:t>
          </a:r>
        </a:p>
        <a:p>
          <a:pPr lvl="0" algn="ctr" defTabSz="622300">
            <a:lnSpc>
              <a:spcPct val="90000"/>
            </a:lnSpc>
            <a:spcBef>
              <a:spcPct val="0"/>
            </a:spcBef>
            <a:spcAft>
              <a:spcPct val="35000"/>
            </a:spcAft>
          </a:pPr>
          <a:r>
            <a:rPr lang="en-US" sz="1400" b="0" kern="1200">
              <a:latin typeface="Tw Cen MT" panose="020B0602020104020603" pitchFamily="34" charset="0"/>
            </a:rPr>
            <a:t>211</a:t>
          </a:r>
        </a:p>
      </dsp:txBody>
      <dsp:txXfrm>
        <a:off x="202204" y="333486"/>
        <a:ext cx="971326" cy="971326"/>
      </dsp:txXfrm>
    </dsp:sp>
    <dsp:sp modelId="{24D2C322-CE66-4988-90B8-57F062A32B3D}">
      <dsp:nvSpPr>
        <dsp:cNvPr id="0" name=""/>
        <dsp:cNvSpPr/>
      </dsp:nvSpPr>
      <dsp:spPr>
        <a:xfrm>
          <a:off x="1486240" y="420787"/>
          <a:ext cx="796724" cy="796724"/>
        </a:xfrm>
        <a:prstGeom prst="mathMinus">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Tw Cen MT" panose="020B0602020104020603" pitchFamily="34" charset="0"/>
          </a:endParaRPr>
        </a:p>
      </dsp:txBody>
      <dsp:txXfrm>
        <a:off x="1591846" y="725454"/>
        <a:ext cx="585512" cy="187390"/>
      </dsp:txXfrm>
    </dsp:sp>
    <dsp:sp modelId="{075670A9-58AC-4A88-9AA5-954AF2245D30}">
      <dsp:nvSpPr>
        <dsp:cNvPr id="0" name=""/>
        <dsp:cNvSpPr/>
      </dsp:nvSpPr>
      <dsp:spPr>
        <a:xfrm>
          <a:off x="2394506" y="132318"/>
          <a:ext cx="1373662" cy="1373662"/>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w Cen MT" panose="020B0602020104020603" pitchFamily="34" charset="0"/>
            </a:rPr>
            <a:t>Annual Average Total degrees and awards </a:t>
          </a:r>
        </a:p>
        <a:p>
          <a:pPr lvl="0" algn="ctr" defTabSz="622300">
            <a:lnSpc>
              <a:spcPct val="90000"/>
            </a:lnSpc>
            <a:spcBef>
              <a:spcPct val="0"/>
            </a:spcBef>
            <a:spcAft>
              <a:spcPct val="35000"/>
            </a:spcAft>
          </a:pPr>
          <a:r>
            <a:rPr lang="en-US" sz="1400" kern="1200">
              <a:latin typeface="Tw Cen MT" panose="020B0602020104020603" pitchFamily="34" charset="0"/>
            </a:rPr>
            <a:t>48</a:t>
          </a:r>
        </a:p>
      </dsp:txBody>
      <dsp:txXfrm>
        <a:off x="2595674" y="333486"/>
        <a:ext cx="971326" cy="971326"/>
      </dsp:txXfrm>
    </dsp:sp>
    <dsp:sp modelId="{1C6A263C-A31E-4237-BEEF-955DBF1CCC6C}">
      <dsp:nvSpPr>
        <dsp:cNvPr id="0" name=""/>
        <dsp:cNvSpPr/>
      </dsp:nvSpPr>
      <dsp:spPr>
        <a:xfrm>
          <a:off x="3879710" y="420787"/>
          <a:ext cx="796724" cy="796724"/>
        </a:xfrm>
        <a:prstGeom prst="mathEqual">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latin typeface="Tw Cen MT" panose="020B0602020104020603" pitchFamily="34" charset="0"/>
          </a:endParaRPr>
        </a:p>
      </dsp:txBody>
      <dsp:txXfrm>
        <a:off x="3985316" y="584912"/>
        <a:ext cx="585512" cy="468474"/>
      </dsp:txXfrm>
    </dsp:sp>
    <dsp:sp modelId="{F898C52C-12C4-4365-9BE1-981268C0EAC3}">
      <dsp:nvSpPr>
        <dsp:cNvPr id="0" name=""/>
        <dsp:cNvSpPr/>
      </dsp:nvSpPr>
      <dsp:spPr>
        <a:xfrm>
          <a:off x="4787975" y="132318"/>
          <a:ext cx="1373662" cy="137366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b="1" kern="1200">
              <a:latin typeface="Tw Cen MT" panose="020B0602020104020603" pitchFamily="34" charset="0"/>
            </a:rPr>
            <a:t>Training gap </a:t>
          </a:r>
        </a:p>
        <a:p>
          <a:pPr lvl="0" algn="ctr" defTabSz="711200">
            <a:lnSpc>
              <a:spcPct val="90000"/>
            </a:lnSpc>
            <a:spcBef>
              <a:spcPct val="0"/>
            </a:spcBef>
            <a:spcAft>
              <a:spcPct val="35000"/>
            </a:spcAft>
          </a:pPr>
          <a:r>
            <a:rPr lang="en-US" sz="1600" b="1" kern="1200">
              <a:latin typeface="Tw Cen MT" panose="020B0602020104020603" pitchFamily="34" charset="0"/>
            </a:rPr>
            <a:t>163</a:t>
          </a:r>
        </a:p>
      </dsp:txBody>
      <dsp:txXfrm>
        <a:off x="4989143" y="333486"/>
        <a:ext cx="971326" cy="97132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5FD5-79A3-4911-A08D-A7645F75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Goss</dc:creator>
  <cp:lastModifiedBy>Marie Boyd</cp:lastModifiedBy>
  <cp:revision>2</cp:revision>
  <cp:lastPrinted>2016-07-13T20:32:00Z</cp:lastPrinted>
  <dcterms:created xsi:type="dcterms:W3CDTF">2017-03-02T18:52:00Z</dcterms:created>
  <dcterms:modified xsi:type="dcterms:W3CDTF">2017-03-02T18:52:00Z</dcterms:modified>
</cp:coreProperties>
</file>